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97" w:rsidRDefault="00616897" w:rsidP="00616897">
      <w:pPr>
        <w:jc w:val="center"/>
      </w:pPr>
      <w:r>
        <w:rPr>
          <w:noProof/>
          <w:lang w:eastAsia="lv-LV"/>
        </w:rPr>
        <w:drawing>
          <wp:inline distT="0" distB="0" distL="0" distR="0" wp14:anchorId="753B1190" wp14:editId="761DC110">
            <wp:extent cx="145415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616897" w:rsidRPr="006B089A" w:rsidRDefault="00616897" w:rsidP="00616897">
      <w:pPr>
        <w:jc w:val="center"/>
        <w:rPr>
          <w:rFonts w:eastAsia="Calibri"/>
          <w:bCs/>
          <w:sz w:val="26"/>
          <w:szCs w:val="26"/>
        </w:rPr>
      </w:pPr>
      <w:r w:rsidRPr="006B089A">
        <w:rPr>
          <w:rFonts w:eastAsia="Calibri"/>
          <w:bCs/>
          <w:sz w:val="26"/>
          <w:szCs w:val="26"/>
        </w:rPr>
        <w:t>VIĻAKAS NOVADA DOME</w:t>
      </w:r>
    </w:p>
    <w:p w:rsidR="00616897" w:rsidRPr="006B089A" w:rsidRDefault="00616897" w:rsidP="00616897">
      <w:pPr>
        <w:jc w:val="center"/>
        <w:rPr>
          <w:rFonts w:eastAsia="Calibri"/>
          <w:b/>
          <w:sz w:val="26"/>
          <w:szCs w:val="26"/>
        </w:rPr>
      </w:pPr>
      <w:r w:rsidRPr="006B089A">
        <w:rPr>
          <w:rFonts w:eastAsia="Calibri"/>
          <w:b/>
          <w:sz w:val="26"/>
          <w:szCs w:val="26"/>
        </w:rPr>
        <w:t>IEPIRKUMU KOMISIJA</w:t>
      </w:r>
    </w:p>
    <w:p w:rsidR="00616897" w:rsidRPr="00E06354" w:rsidRDefault="00616897" w:rsidP="00616897">
      <w:pPr>
        <w:jc w:val="center"/>
        <w:rPr>
          <w:rFonts w:eastAsia="Calibri"/>
        </w:rPr>
      </w:pPr>
      <w:r>
        <w:rPr>
          <w:rFonts w:eastAsia="Calibri"/>
        </w:rPr>
        <w:t>Reģ.Nr.90009115618</w:t>
      </w:r>
    </w:p>
    <w:p w:rsidR="00616897" w:rsidRPr="00E06354" w:rsidRDefault="00616897" w:rsidP="00616897">
      <w:pPr>
        <w:jc w:val="center"/>
        <w:rPr>
          <w:rFonts w:eastAsia="Calibri"/>
        </w:rPr>
      </w:pPr>
      <w:r>
        <w:rPr>
          <w:rFonts w:eastAsia="Calibri"/>
        </w:rPr>
        <w:t>Abrenes</w:t>
      </w:r>
      <w:r w:rsidRPr="00E06354">
        <w:rPr>
          <w:rFonts w:eastAsia="Calibri"/>
        </w:rPr>
        <w:t xml:space="preserve"> iela 2</w:t>
      </w:r>
      <w:r>
        <w:rPr>
          <w:rFonts w:eastAsia="Calibri"/>
        </w:rPr>
        <w:t>6, Viļaka, Viļakas nov</w:t>
      </w:r>
      <w:r w:rsidR="00CA5913">
        <w:rPr>
          <w:rFonts w:eastAsia="Calibri"/>
        </w:rPr>
        <w:t>ads</w:t>
      </w:r>
      <w:r>
        <w:rPr>
          <w:rFonts w:eastAsia="Calibri"/>
        </w:rPr>
        <w:t>, LV-4583</w:t>
      </w:r>
    </w:p>
    <w:p w:rsidR="00616897" w:rsidRPr="00E06354" w:rsidRDefault="00616897" w:rsidP="00616897">
      <w:pPr>
        <w:pBdr>
          <w:bottom w:val="single" w:sz="12" w:space="1" w:color="auto"/>
        </w:pBdr>
        <w:jc w:val="center"/>
        <w:rPr>
          <w:rFonts w:eastAsia="Calibri"/>
        </w:rPr>
      </w:pPr>
      <w:r>
        <w:rPr>
          <w:rFonts w:eastAsia="Calibri"/>
        </w:rPr>
        <w:t>Tālrunis 64507225</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7" w:history="1">
        <w:r w:rsidRPr="00E93A26">
          <w:rPr>
            <w:rStyle w:val="Hyperlink"/>
            <w:rFonts w:eastAsia="Calibri"/>
          </w:rPr>
          <w:t>dome@vilaka.lv</w:t>
        </w:r>
      </w:hyperlink>
      <w:r w:rsidRPr="00E06354">
        <w:rPr>
          <w:rFonts w:eastAsia="Calibri"/>
        </w:rPr>
        <w:t xml:space="preserve"> </w:t>
      </w:r>
    </w:p>
    <w:p w:rsidR="00D74EB6" w:rsidRPr="004D4EB6" w:rsidRDefault="00D74EB6" w:rsidP="00D74EB6">
      <w:pPr>
        <w:pStyle w:val="Title"/>
        <w:rPr>
          <w:sz w:val="24"/>
        </w:rPr>
      </w:pPr>
      <w:r w:rsidRPr="004D4EB6">
        <w:rPr>
          <w:sz w:val="24"/>
        </w:rPr>
        <w:t>LĒMUMS</w:t>
      </w:r>
    </w:p>
    <w:p w:rsidR="00D74EB6" w:rsidRPr="004D4EB6" w:rsidRDefault="00D74EB6" w:rsidP="00D74EB6">
      <w:pPr>
        <w:pStyle w:val="Subtitle"/>
        <w:rPr>
          <w:b w:val="0"/>
          <w:bCs/>
          <w:sz w:val="24"/>
          <w:szCs w:val="24"/>
          <w:lang w:val="lv-LV"/>
        </w:rPr>
      </w:pPr>
      <w:r w:rsidRPr="004D4EB6">
        <w:rPr>
          <w:b w:val="0"/>
          <w:bCs/>
          <w:sz w:val="24"/>
          <w:szCs w:val="24"/>
          <w:lang w:val="lv-LV"/>
        </w:rPr>
        <w:t>Viļakā</w:t>
      </w:r>
    </w:p>
    <w:p w:rsidR="00D74EB6" w:rsidRPr="004D4EB6" w:rsidRDefault="00D74EB6" w:rsidP="00D74EB6">
      <w:pPr>
        <w:jc w:val="both"/>
      </w:pPr>
    </w:p>
    <w:p w:rsidR="00D74EB6" w:rsidRPr="004D4EB6" w:rsidRDefault="00D74EB6" w:rsidP="00D74EB6">
      <w:r w:rsidRPr="004D4EB6">
        <w:t>25.05.2018.                                                                                                                 Nr.</w:t>
      </w:r>
      <w:r>
        <w:t>61</w:t>
      </w:r>
      <w:r w:rsidRPr="004D4EB6">
        <w:t>/2-8.2</w:t>
      </w:r>
    </w:p>
    <w:p w:rsidR="00D74EB6" w:rsidRPr="004D4EB6" w:rsidRDefault="00D74EB6" w:rsidP="00D74EB6"/>
    <w:p w:rsidR="00D74EB6" w:rsidRPr="004D4EB6" w:rsidRDefault="00D74EB6" w:rsidP="00D74EB6">
      <w:pPr>
        <w:jc w:val="right"/>
        <w:rPr>
          <w:b/>
          <w:shd w:val="clear" w:color="auto" w:fill="FFFFFF"/>
        </w:rPr>
      </w:pPr>
      <w:r w:rsidRPr="004D4EB6">
        <w:rPr>
          <w:b/>
          <w:shd w:val="clear" w:color="auto" w:fill="FFFFFF"/>
        </w:rPr>
        <w:t xml:space="preserve">SIA “EZ </w:t>
      </w:r>
      <w:proofErr w:type="spellStart"/>
      <w:r w:rsidRPr="004D4EB6">
        <w:rPr>
          <w:b/>
          <w:shd w:val="clear" w:color="auto" w:fill="FFFFFF"/>
        </w:rPr>
        <w:t>floors</w:t>
      </w:r>
      <w:proofErr w:type="spellEnd"/>
      <w:r w:rsidRPr="004D4EB6">
        <w:rPr>
          <w:b/>
          <w:shd w:val="clear" w:color="auto" w:fill="FFFFFF"/>
        </w:rPr>
        <w:t>”</w:t>
      </w:r>
    </w:p>
    <w:p w:rsidR="00D74EB6" w:rsidRPr="004D4EB6" w:rsidRDefault="00D74EB6" w:rsidP="00D74EB6">
      <w:pPr>
        <w:jc w:val="right"/>
        <w:rPr>
          <w:shd w:val="clear" w:color="auto" w:fill="FFFFFF"/>
        </w:rPr>
      </w:pPr>
      <w:r w:rsidRPr="004D4EB6">
        <w:rPr>
          <w:shd w:val="clear" w:color="auto" w:fill="FFFFFF"/>
        </w:rPr>
        <w:t xml:space="preserve">Dzelzceļnieku ielā 34, Skrīveros, Skrīveru novadā, LV-5125 </w:t>
      </w:r>
    </w:p>
    <w:p w:rsidR="00D74EB6" w:rsidRPr="004D4EB6" w:rsidRDefault="00D74EB6" w:rsidP="00D74EB6">
      <w:pPr>
        <w:jc w:val="right"/>
        <w:rPr>
          <w:shd w:val="clear" w:color="auto" w:fill="FFFFFF"/>
        </w:rPr>
      </w:pPr>
      <w:r w:rsidRPr="004D4EB6">
        <w:rPr>
          <w:shd w:val="clear" w:color="auto" w:fill="FFFFFF"/>
        </w:rPr>
        <w:t>Reģ.Nr.45403026638</w:t>
      </w:r>
    </w:p>
    <w:p w:rsidR="00D74EB6" w:rsidRPr="004D4EB6" w:rsidRDefault="00D74EB6" w:rsidP="00D74EB6">
      <w:pPr>
        <w:jc w:val="right"/>
      </w:pPr>
    </w:p>
    <w:p w:rsidR="00D74EB6" w:rsidRPr="004D4EB6" w:rsidRDefault="00D74EB6" w:rsidP="00D74EB6">
      <w:pPr>
        <w:jc w:val="right"/>
        <w:rPr>
          <w:b/>
        </w:rPr>
      </w:pPr>
      <w:r w:rsidRPr="004D4EB6">
        <w:rPr>
          <w:b/>
        </w:rPr>
        <w:t>Sabiedrībai ar ierobežotu atbildību “OZOLMĀJAS”</w:t>
      </w:r>
    </w:p>
    <w:p w:rsidR="00D74EB6" w:rsidRPr="004D4EB6" w:rsidRDefault="00D74EB6" w:rsidP="00D74EB6">
      <w:pPr>
        <w:jc w:val="right"/>
      </w:pPr>
      <w:r w:rsidRPr="004D4EB6">
        <w:t>“Avotos”, Aizupītēs, Alsviķu pag, Alūksnes novadā, LV-4333</w:t>
      </w:r>
    </w:p>
    <w:p w:rsidR="00D74EB6" w:rsidRPr="004D4EB6" w:rsidRDefault="00D74EB6" w:rsidP="00D74EB6">
      <w:pPr>
        <w:jc w:val="right"/>
      </w:pPr>
      <w:r w:rsidRPr="004D4EB6">
        <w:t>Reģ.Nr.43201016545</w:t>
      </w:r>
    </w:p>
    <w:p w:rsidR="00D74EB6" w:rsidRPr="004D4EB6" w:rsidRDefault="00D74EB6" w:rsidP="00D74EB6">
      <w:pPr>
        <w:jc w:val="right"/>
      </w:pPr>
    </w:p>
    <w:p w:rsidR="00D74EB6" w:rsidRPr="004D4EB6" w:rsidRDefault="00D74EB6" w:rsidP="00D74EB6">
      <w:pPr>
        <w:jc w:val="both"/>
        <w:rPr>
          <w:bCs/>
          <w:i/>
        </w:rPr>
      </w:pPr>
      <w:r w:rsidRPr="004D4EB6">
        <w:rPr>
          <w:i/>
          <w:iCs/>
        </w:rPr>
        <w:t>Par Publisko iepirkumu likuma 9.panta kārtībā organizētā iepirkuma „</w:t>
      </w:r>
      <w:r w:rsidRPr="004D4EB6">
        <w:rPr>
          <w:i/>
        </w:rPr>
        <w:t>Viļakas Valsts ģimnāzijas sporta zāles remontdarbi ERAF darbības programmas ietvaros</w:t>
      </w:r>
      <w:r w:rsidRPr="004D4EB6">
        <w:rPr>
          <w:bCs/>
          <w:i/>
        </w:rPr>
        <w:t>” (</w:t>
      </w:r>
      <w:proofErr w:type="spellStart"/>
      <w:r w:rsidRPr="004D4EB6">
        <w:rPr>
          <w:bCs/>
          <w:i/>
        </w:rPr>
        <w:t>ID.Nr.VND</w:t>
      </w:r>
      <w:proofErr w:type="spellEnd"/>
      <w:r w:rsidRPr="004D4EB6">
        <w:rPr>
          <w:bCs/>
          <w:i/>
        </w:rPr>
        <w:t xml:space="preserve"> 2018/12/ERAF MI) </w:t>
      </w:r>
      <w:r w:rsidRPr="004D4EB6">
        <w:rPr>
          <w:i/>
          <w:iCs/>
        </w:rPr>
        <w:t>rezultātiem</w:t>
      </w:r>
    </w:p>
    <w:p w:rsidR="00D74EB6" w:rsidRPr="004D4EB6" w:rsidRDefault="00D74EB6" w:rsidP="00D74EB6">
      <w:pPr>
        <w:rPr>
          <w:i/>
          <w:iCs/>
        </w:rPr>
      </w:pPr>
    </w:p>
    <w:p w:rsidR="00D74EB6" w:rsidRPr="004D4EB6" w:rsidRDefault="00D74EB6" w:rsidP="00D74EB6">
      <w:pPr>
        <w:pStyle w:val="CommentSubject"/>
        <w:rPr>
          <w:sz w:val="24"/>
          <w:szCs w:val="24"/>
        </w:rPr>
      </w:pPr>
      <w:r w:rsidRPr="004D4EB6">
        <w:rPr>
          <w:sz w:val="24"/>
          <w:szCs w:val="24"/>
        </w:rPr>
        <w:t>Pasūtītājs:</w:t>
      </w:r>
    </w:p>
    <w:p w:rsidR="00D74EB6" w:rsidRPr="004D4EB6" w:rsidRDefault="00D74EB6" w:rsidP="00D74EB6">
      <w:pPr>
        <w:pStyle w:val="CommentSubject"/>
        <w:rPr>
          <w:b w:val="0"/>
          <w:bCs w:val="0"/>
          <w:sz w:val="24"/>
          <w:szCs w:val="24"/>
        </w:rPr>
      </w:pPr>
      <w:r w:rsidRPr="004D4EB6">
        <w:rPr>
          <w:b w:val="0"/>
          <w:bCs w:val="0"/>
          <w:sz w:val="24"/>
          <w:szCs w:val="24"/>
        </w:rPr>
        <w:t>Viļakas novada dome,</w:t>
      </w:r>
    </w:p>
    <w:p w:rsidR="00D74EB6" w:rsidRPr="000524AB" w:rsidRDefault="00D74EB6" w:rsidP="00D74EB6">
      <w:pPr>
        <w:rPr>
          <w:rStyle w:val="Emphasis"/>
          <w:i w:val="0"/>
          <w:iCs w:val="0"/>
        </w:rPr>
      </w:pPr>
      <w:r w:rsidRPr="000524AB">
        <w:rPr>
          <w:rStyle w:val="Emphasis"/>
          <w:i w:val="0"/>
        </w:rPr>
        <w:t>Abrenes iela 26, Viļaka, Viļakas novads, LV-4583</w:t>
      </w:r>
    </w:p>
    <w:p w:rsidR="00D74EB6" w:rsidRPr="004D4EB6" w:rsidRDefault="00D74EB6" w:rsidP="00D74EB6">
      <w:r w:rsidRPr="004D4EB6">
        <w:t>Reģ.Nr.90009115618</w:t>
      </w:r>
    </w:p>
    <w:p w:rsidR="00D74EB6" w:rsidRPr="004D4EB6" w:rsidRDefault="00D74EB6" w:rsidP="00D74EB6"/>
    <w:p w:rsidR="00D74EB6" w:rsidRPr="004D4EB6" w:rsidRDefault="00D74EB6" w:rsidP="00D74EB6">
      <w:pPr>
        <w:jc w:val="both"/>
        <w:rPr>
          <w:b/>
        </w:rPr>
      </w:pPr>
      <w:r w:rsidRPr="004D4EB6">
        <w:rPr>
          <w:b/>
        </w:rPr>
        <w:t>Iepirkuma identifikācijas numurs:</w:t>
      </w:r>
    </w:p>
    <w:p w:rsidR="00D74EB6" w:rsidRPr="004D4EB6" w:rsidRDefault="00D74EB6" w:rsidP="00D74EB6">
      <w:pPr>
        <w:jc w:val="both"/>
        <w:rPr>
          <w:b/>
        </w:rPr>
      </w:pPr>
      <w:r w:rsidRPr="004D4EB6">
        <w:rPr>
          <w:bCs/>
        </w:rPr>
        <w:t>VND</w:t>
      </w:r>
      <w:r w:rsidRPr="004D4EB6">
        <w:rPr>
          <w:bCs/>
          <w:iCs/>
        </w:rPr>
        <w:t xml:space="preserve"> 2018</w:t>
      </w:r>
      <w:r w:rsidRPr="004D4EB6">
        <w:rPr>
          <w:iCs/>
        </w:rPr>
        <w:t>/12/ERAF MI</w:t>
      </w:r>
    </w:p>
    <w:p w:rsidR="00D74EB6" w:rsidRPr="004D4EB6" w:rsidRDefault="00D74EB6" w:rsidP="00D74EB6">
      <w:pPr>
        <w:jc w:val="both"/>
        <w:rPr>
          <w:b/>
        </w:rPr>
      </w:pPr>
    </w:p>
    <w:p w:rsidR="00D74EB6" w:rsidRPr="004D4EB6" w:rsidRDefault="00D74EB6" w:rsidP="00D74EB6">
      <w:pPr>
        <w:jc w:val="both"/>
        <w:rPr>
          <w:bCs/>
        </w:rPr>
      </w:pPr>
      <w:r w:rsidRPr="004D4EB6">
        <w:rPr>
          <w:b/>
        </w:rPr>
        <w:t>Iepirkuma pamatojums:</w:t>
      </w:r>
    </w:p>
    <w:p w:rsidR="00D74EB6" w:rsidRPr="004D4EB6" w:rsidRDefault="00D74EB6" w:rsidP="00D74EB6">
      <w:pPr>
        <w:jc w:val="both"/>
        <w:rPr>
          <w:bCs/>
        </w:rPr>
      </w:pPr>
      <w:r w:rsidRPr="004D4EB6">
        <w:rPr>
          <w:bCs/>
        </w:rPr>
        <w:t>Publisko iepirkumu likuma 9.panta kārtībā</w:t>
      </w:r>
    </w:p>
    <w:p w:rsidR="00D74EB6" w:rsidRPr="004D4EB6" w:rsidRDefault="00D74EB6" w:rsidP="00D74EB6">
      <w:pPr>
        <w:jc w:val="both"/>
        <w:rPr>
          <w:b/>
        </w:rPr>
      </w:pPr>
    </w:p>
    <w:p w:rsidR="00D74EB6" w:rsidRPr="004D4EB6" w:rsidRDefault="00D74EB6" w:rsidP="00D74EB6">
      <w:pPr>
        <w:jc w:val="both"/>
        <w:rPr>
          <w:bCs/>
        </w:rPr>
      </w:pPr>
      <w:r w:rsidRPr="004D4EB6">
        <w:rPr>
          <w:b/>
        </w:rPr>
        <w:t>Iepirkuma priekšmets:</w:t>
      </w:r>
    </w:p>
    <w:p w:rsidR="00D74EB6" w:rsidRPr="004D4EB6" w:rsidRDefault="00D74EB6" w:rsidP="00D74EB6">
      <w:r w:rsidRPr="004D4EB6">
        <w:t>Viļakas Valsts ģimnāzijas sporta zāles remontdarbi</w:t>
      </w:r>
    </w:p>
    <w:p w:rsidR="00D74EB6" w:rsidRPr="004D4EB6" w:rsidRDefault="00D74EB6" w:rsidP="00D74EB6">
      <w:pPr>
        <w:jc w:val="both"/>
        <w:rPr>
          <w:b/>
        </w:rPr>
      </w:pPr>
    </w:p>
    <w:p w:rsidR="00D74EB6" w:rsidRPr="004D4EB6" w:rsidRDefault="00D74EB6" w:rsidP="00D74EB6">
      <w:pPr>
        <w:jc w:val="both"/>
        <w:rPr>
          <w:b/>
        </w:rPr>
      </w:pPr>
      <w:r w:rsidRPr="004D4EB6">
        <w:rPr>
          <w:b/>
        </w:rPr>
        <w:t xml:space="preserve">Paziņojums par plānoto līgumu publicēts internetā: </w:t>
      </w:r>
    </w:p>
    <w:p w:rsidR="00D74EB6" w:rsidRPr="004D4EB6" w:rsidRDefault="00D74EB6" w:rsidP="00D74EB6">
      <w:pPr>
        <w:jc w:val="both"/>
        <w:rPr>
          <w:bCs/>
        </w:rPr>
      </w:pPr>
      <w:r w:rsidRPr="004D4EB6">
        <w:rPr>
          <w:bCs/>
        </w:rPr>
        <w:t>27.04.2018.</w:t>
      </w:r>
    </w:p>
    <w:p w:rsidR="00D74EB6" w:rsidRPr="004D4EB6" w:rsidRDefault="00D74EB6" w:rsidP="00D74EB6">
      <w:pPr>
        <w:jc w:val="both"/>
        <w:rPr>
          <w:b/>
        </w:rPr>
      </w:pPr>
    </w:p>
    <w:p w:rsidR="00D74EB6" w:rsidRPr="004D4EB6" w:rsidRDefault="00D74EB6" w:rsidP="00D74EB6">
      <w:pPr>
        <w:jc w:val="both"/>
        <w:rPr>
          <w:b/>
        </w:rPr>
      </w:pPr>
      <w:r w:rsidRPr="004D4EB6">
        <w:rPr>
          <w:b/>
        </w:rPr>
        <w:t>Iepirkumu</w:t>
      </w:r>
      <w:r w:rsidRPr="004D4EB6">
        <w:t xml:space="preserve"> </w:t>
      </w:r>
      <w:r w:rsidRPr="004D4EB6">
        <w:rPr>
          <w:b/>
        </w:rPr>
        <w:t>komisijas izveidošanas pamatojums:</w:t>
      </w:r>
    </w:p>
    <w:p w:rsidR="00D74EB6" w:rsidRPr="004D4EB6" w:rsidRDefault="00D74EB6" w:rsidP="00D74EB6">
      <w:pPr>
        <w:jc w:val="both"/>
        <w:rPr>
          <w:bCs/>
        </w:rPr>
      </w:pPr>
      <w:r w:rsidRPr="004D4EB6">
        <w:t>Viļakas novada domes 27.07.2017. lēmums Nr.347 (protokols Nr.14, 5.§) „Par Viļakas novada domes iepirkumu komisijas sastāva apstiprināšanu”</w:t>
      </w:r>
    </w:p>
    <w:p w:rsidR="00D74EB6" w:rsidRPr="004D4EB6" w:rsidRDefault="00D74EB6" w:rsidP="00D74EB6">
      <w:pPr>
        <w:jc w:val="both"/>
        <w:rPr>
          <w:b/>
        </w:rPr>
      </w:pPr>
    </w:p>
    <w:p w:rsidR="00D74EB6" w:rsidRPr="004D4EB6" w:rsidRDefault="00D74EB6" w:rsidP="00D74EB6">
      <w:pPr>
        <w:jc w:val="both"/>
        <w:rPr>
          <w:b/>
        </w:rPr>
      </w:pPr>
      <w:r w:rsidRPr="004D4EB6">
        <w:rPr>
          <w:b/>
        </w:rPr>
        <w:t>Iepirkumu</w:t>
      </w:r>
      <w:r w:rsidRPr="004D4EB6">
        <w:t xml:space="preserve"> </w:t>
      </w:r>
      <w:r w:rsidRPr="004D4EB6">
        <w:rPr>
          <w:b/>
        </w:rPr>
        <w:t>komisijas sastāvs:</w:t>
      </w:r>
    </w:p>
    <w:p w:rsidR="00D74EB6" w:rsidRPr="004D4EB6" w:rsidRDefault="00D74EB6" w:rsidP="00D74EB6">
      <w:pPr>
        <w:jc w:val="both"/>
        <w:rPr>
          <w:bCs/>
        </w:rPr>
      </w:pPr>
      <w:r w:rsidRPr="004D4EB6">
        <w:rPr>
          <w:bCs/>
        </w:rPr>
        <w:t>Iepirkumu komisijas priekšsēdētāja:</w:t>
      </w:r>
    </w:p>
    <w:p w:rsidR="00D74EB6" w:rsidRPr="004D4EB6" w:rsidRDefault="00D74EB6" w:rsidP="00D74EB6">
      <w:pPr>
        <w:jc w:val="both"/>
      </w:pPr>
      <w:r w:rsidRPr="004D4EB6">
        <w:t>Viļakas novada domes Finanšu un grāmatvedības nodaļas vadītāja Tamāra Locāne</w:t>
      </w:r>
    </w:p>
    <w:p w:rsidR="00D74EB6" w:rsidRPr="004D4EB6" w:rsidRDefault="00D74EB6" w:rsidP="00D74EB6">
      <w:pPr>
        <w:jc w:val="both"/>
        <w:rPr>
          <w:bCs/>
        </w:rPr>
      </w:pPr>
      <w:r w:rsidRPr="004D4EB6">
        <w:rPr>
          <w:bCs/>
        </w:rPr>
        <w:lastRenderedPageBreak/>
        <w:t>Iepirkumu komisijas priekšsēdētājas vietniece:</w:t>
      </w:r>
    </w:p>
    <w:p w:rsidR="00D74EB6" w:rsidRPr="004D4EB6" w:rsidRDefault="00D74EB6" w:rsidP="00D74EB6">
      <w:pPr>
        <w:jc w:val="both"/>
      </w:pPr>
      <w:r w:rsidRPr="004D4EB6">
        <w:t xml:space="preserve">Viļakas novada domes Tehniskas nodaļas darba aizsardzības speciāliste Sintija </w:t>
      </w:r>
      <w:proofErr w:type="spellStart"/>
      <w:r w:rsidRPr="004D4EB6">
        <w:t>Strapcāne</w:t>
      </w:r>
      <w:proofErr w:type="spellEnd"/>
    </w:p>
    <w:p w:rsidR="003973DA" w:rsidRDefault="003973DA" w:rsidP="00D74EB6">
      <w:pPr>
        <w:jc w:val="both"/>
      </w:pPr>
    </w:p>
    <w:p w:rsidR="00D74EB6" w:rsidRPr="004D4EB6" w:rsidRDefault="00D74EB6" w:rsidP="00D74EB6">
      <w:pPr>
        <w:jc w:val="both"/>
      </w:pPr>
      <w:r w:rsidRPr="004D4EB6">
        <w:t>Iepirkumu komisijas loceklis:</w:t>
      </w:r>
    </w:p>
    <w:p w:rsidR="00D74EB6" w:rsidRPr="004D4EB6" w:rsidRDefault="00D74EB6" w:rsidP="00D74EB6">
      <w:pPr>
        <w:jc w:val="both"/>
      </w:pPr>
      <w:r w:rsidRPr="004D4EB6">
        <w:t xml:space="preserve">Žīguru pagasta pārvaldes vadītājs Oļegs </w:t>
      </w:r>
      <w:proofErr w:type="spellStart"/>
      <w:r w:rsidRPr="004D4EB6">
        <w:t>Kesks</w:t>
      </w:r>
      <w:proofErr w:type="spellEnd"/>
    </w:p>
    <w:p w:rsidR="00D74EB6" w:rsidRPr="004D4EB6" w:rsidRDefault="00D74EB6" w:rsidP="00D74EB6">
      <w:pPr>
        <w:jc w:val="both"/>
      </w:pPr>
    </w:p>
    <w:p w:rsidR="00D74EB6" w:rsidRPr="004D4EB6" w:rsidRDefault="00D74EB6" w:rsidP="00D74EB6">
      <w:pPr>
        <w:jc w:val="both"/>
      </w:pPr>
      <w:r w:rsidRPr="004D4EB6">
        <w:t>Sekretāre:</w:t>
      </w:r>
    </w:p>
    <w:p w:rsidR="00D74EB6" w:rsidRPr="004D4EB6" w:rsidRDefault="00D74EB6" w:rsidP="00D74EB6">
      <w:pPr>
        <w:jc w:val="both"/>
      </w:pPr>
      <w:r w:rsidRPr="004D4EB6">
        <w:t>Viļakas novada domes juriskonsulte Dace Dzērve</w:t>
      </w:r>
    </w:p>
    <w:p w:rsidR="00D74EB6" w:rsidRPr="004D4EB6" w:rsidRDefault="00D74EB6" w:rsidP="00D74EB6">
      <w:pPr>
        <w:widowControl w:val="0"/>
        <w:suppressAutoHyphens w:val="0"/>
        <w:jc w:val="both"/>
        <w:rPr>
          <w:b/>
        </w:rPr>
      </w:pPr>
    </w:p>
    <w:p w:rsidR="00D74EB6" w:rsidRPr="004D4EB6" w:rsidRDefault="00D74EB6" w:rsidP="00D74EB6">
      <w:pPr>
        <w:widowControl w:val="0"/>
        <w:suppressAutoHyphens w:val="0"/>
        <w:jc w:val="both"/>
        <w:rPr>
          <w:b/>
        </w:rPr>
      </w:pPr>
      <w:r w:rsidRPr="004D4EB6">
        <w:rPr>
          <w:b/>
        </w:rPr>
        <w:t>Piedāvājumu izvērtēšanā piedalās:</w:t>
      </w:r>
    </w:p>
    <w:p w:rsidR="00D74EB6" w:rsidRPr="004D4EB6" w:rsidRDefault="00D74EB6" w:rsidP="00D74EB6">
      <w:pPr>
        <w:widowControl w:val="0"/>
        <w:suppressAutoHyphens w:val="0"/>
        <w:jc w:val="both"/>
        <w:rPr>
          <w:bCs/>
        </w:rPr>
      </w:pPr>
      <w:r w:rsidRPr="004D4EB6">
        <w:t>Viļakas novada domes Iepirkumu k</w:t>
      </w:r>
      <w:r w:rsidRPr="004D4EB6">
        <w:rPr>
          <w:bCs/>
        </w:rPr>
        <w:t>omisijas priekšsēdētāja Tamāra Locāne</w:t>
      </w:r>
    </w:p>
    <w:p w:rsidR="00D74EB6" w:rsidRPr="004D4EB6" w:rsidRDefault="00D74EB6" w:rsidP="00D74EB6">
      <w:pPr>
        <w:widowControl w:val="0"/>
        <w:suppressAutoHyphens w:val="0"/>
        <w:jc w:val="both"/>
        <w:rPr>
          <w:bCs/>
        </w:rPr>
      </w:pPr>
      <w:r w:rsidRPr="004D4EB6">
        <w:t>Viļakas novada domes Iepirkumu k</w:t>
      </w:r>
      <w:r w:rsidRPr="004D4EB6">
        <w:rPr>
          <w:bCs/>
        </w:rPr>
        <w:t xml:space="preserve">omisijas priekšsēdētājas vietniece Sintija </w:t>
      </w:r>
      <w:proofErr w:type="spellStart"/>
      <w:r w:rsidRPr="004D4EB6">
        <w:rPr>
          <w:bCs/>
        </w:rPr>
        <w:t>Strapcāne</w:t>
      </w:r>
      <w:proofErr w:type="spellEnd"/>
    </w:p>
    <w:p w:rsidR="00D74EB6" w:rsidRPr="004D4EB6" w:rsidRDefault="00D74EB6" w:rsidP="00D74EB6">
      <w:pPr>
        <w:widowControl w:val="0"/>
        <w:suppressAutoHyphens w:val="0"/>
        <w:jc w:val="both"/>
        <w:rPr>
          <w:bCs/>
        </w:rPr>
      </w:pPr>
      <w:r w:rsidRPr="004D4EB6">
        <w:t>Viļakas novada domes Iepirkumu k</w:t>
      </w:r>
      <w:r w:rsidRPr="004D4EB6">
        <w:rPr>
          <w:bCs/>
        </w:rPr>
        <w:t xml:space="preserve">omisijas loceklis Oļegs </w:t>
      </w:r>
      <w:proofErr w:type="spellStart"/>
      <w:r w:rsidRPr="004D4EB6">
        <w:rPr>
          <w:bCs/>
        </w:rPr>
        <w:t>Kesks</w:t>
      </w:r>
      <w:proofErr w:type="spellEnd"/>
    </w:p>
    <w:p w:rsidR="00D74EB6" w:rsidRPr="004D4EB6" w:rsidRDefault="00D74EB6" w:rsidP="00D74EB6">
      <w:pPr>
        <w:widowControl w:val="0"/>
        <w:suppressAutoHyphens w:val="0"/>
        <w:jc w:val="both"/>
        <w:rPr>
          <w:bCs/>
        </w:rPr>
      </w:pPr>
    </w:p>
    <w:p w:rsidR="00D74EB6" w:rsidRPr="004D4EB6" w:rsidRDefault="00D74EB6" w:rsidP="00D74EB6">
      <w:pPr>
        <w:widowControl w:val="0"/>
        <w:suppressAutoHyphens w:val="0"/>
        <w:jc w:val="both"/>
        <w:rPr>
          <w:b/>
        </w:rPr>
      </w:pPr>
      <w:r w:rsidRPr="004D4EB6">
        <w:rPr>
          <w:b/>
        </w:rPr>
        <w:t>Protokolē:</w:t>
      </w:r>
    </w:p>
    <w:p w:rsidR="00D74EB6" w:rsidRPr="004D4EB6" w:rsidRDefault="00D74EB6" w:rsidP="00D74EB6">
      <w:pPr>
        <w:widowControl w:val="0"/>
        <w:suppressAutoHyphens w:val="0"/>
        <w:jc w:val="both"/>
        <w:rPr>
          <w:bCs/>
        </w:rPr>
      </w:pPr>
      <w:r w:rsidRPr="004D4EB6">
        <w:t>Viļakas novada domes Iepirkumu k</w:t>
      </w:r>
      <w:r w:rsidRPr="004D4EB6">
        <w:rPr>
          <w:bCs/>
        </w:rPr>
        <w:t>omisijas sekretāre Dace Dzērve</w:t>
      </w:r>
    </w:p>
    <w:p w:rsidR="00D74EB6" w:rsidRPr="004D4EB6" w:rsidRDefault="00D74EB6" w:rsidP="00D74EB6">
      <w:pPr>
        <w:widowControl w:val="0"/>
        <w:suppressAutoHyphens w:val="0"/>
        <w:jc w:val="both"/>
        <w:rPr>
          <w:b/>
        </w:rPr>
      </w:pPr>
    </w:p>
    <w:p w:rsidR="00D74EB6" w:rsidRPr="004D4EB6" w:rsidRDefault="00D74EB6" w:rsidP="00D74EB6">
      <w:pPr>
        <w:jc w:val="both"/>
        <w:rPr>
          <w:b/>
        </w:rPr>
      </w:pPr>
      <w:r w:rsidRPr="004D4EB6">
        <w:rPr>
          <w:b/>
        </w:rPr>
        <w:t>Pretendentiem noteiktās kvalifikācijas prasības:</w:t>
      </w:r>
    </w:p>
    <w:p w:rsidR="00D74EB6" w:rsidRPr="004D4EB6" w:rsidRDefault="00D74EB6" w:rsidP="00D74EB6">
      <w:pPr>
        <w:jc w:val="both"/>
      </w:pPr>
      <w:r w:rsidRPr="004D4EB6">
        <w:t>1. Pretendents ir reģistrēts Uzņēmumu reģistrā vai līdzvērtīgā reģistrā ārvalstīs.</w:t>
      </w:r>
    </w:p>
    <w:p w:rsidR="00D74EB6" w:rsidRPr="004D4EB6" w:rsidRDefault="00D74EB6" w:rsidP="00D74EB6">
      <w:pPr>
        <w:jc w:val="both"/>
      </w:pPr>
      <w:r w:rsidRPr="004D4EB6">
        <w:t xml:space="preserve">2. </w:t>
      </w:r>
      <w:bookmarkStart w:id="0" w:name="_Hlk493231811"/>
      <w:r w:rsidRPr="004D4EB6">
        <w:t>Pretendents ir reģistrēts Būvkomersantu reģistrā, saskaņā ar Būvniecības likuma 22.panta un MK 25.02.2014. noteikumu Nr.116 „Būvkomersantu reģistrācijas noteikumi” prasībām vai attiecīgā profesionālā reģistrā ārvalstīs.</w:t>
      </w:r>
    </w:p>
    <w:p w:rsidR="00D74EB6" w:rsidRPr="004D4EB6" w:rsidRDefault="00D74EB6" w:rsidP="00D74EB6">
      <w:pPr>
        <w:jc w:val="both"/>
      </w:pPr>
      <w:r w:rsidRPr="004D4EB6">
        <w:t xml:space="preserve">3. </w:t>
      </w:r>
      <w:bookmarkEnd w:id="0"/>
      <w:r w:rsidRPr="004D4EB6">
        <w:t>Pretendentam ir sertificēts speciālists ēku būvdarbu vadīšanā.</w:t>
      </w:r>
    </w:p>
    <w:p w:rsidR="00D74EB6" w:rsidRPr="004D4EB6" w:rsidRDefault="00D74EB6" w:rsidP="00D74EB6">
      <w:pPr>
        <w:jc w:val="both"/>
      </w:pPr>
      <w:r w:rsidRPr="004D4EB6">
        <w:t xml:space="preserve">4. </w:t>
      </w:r>
      <w:r w:rsidRPr="004D4EB6">
        <w:rPr>
          <w:rFonts w:eastAsia="SimSun"/>
          <w:lang w:eastAsia="zh-CN"/>
        </w:rPr>
        <w:t xml:space="preserve">Uz Pretendentu nedrīkst būt attiecināmi </w:t>
      </w:r>
      <w:r w:rsidRPr="004D4EB6">
        <w:t>Publisko iepirkumu likuma (PIL) 9.panta astotajā daļā minētie izslēgšanas nosacījumi.</w:t>
      </w:r>
    </w:p>
    <w:p w:rsidR="00D74EB6" w:rsidRPr="004D4EB6" w:rsidRDefault="00D74EB6" w:rsidP="00D74EB6">
      <w:pPr>
        <w:jc w:val="both"/>
        <w:rPr>
          <w:b/>
        </w:rPr>
      </w:pPr>
    </w:p>
    <w:p w:rsidR="00D74EB6" w:rsidRPr="004D4EB6" w:rsidRDefault="00D74EB6" w:rsidP="00D74EB6">
      <w:pPr>
        <w:widowControl w:val="0"/>
        <w:suppressAutoHyphens w:val="0"/>
        <w:jc w:val="both"/>
      </w:pPr>
      <w:r w:rsidRPr="004D4EB6">
        <w:rPr>
          <w:b/>
        </w:rPr>
        <w:t>Piedāvājuma izvēles kritērijs:</w:t>
      </w:r>
    </w:p>
    <w:p w:rsidR="00D74EB6" w:rsidRPr="004D4EB6" w:rsidRDefault="00D74EB6" w:rsidP="00D74EB6">
      <w:pPr>
        <w:pStyle w:val="List"/>
        <w:ind w:left="0" w:firstLine="0"/>
        <w:jc w:val="both"/>
      </w:pPr>
      <w:r w:rsidRPr="004D4EB6">
        <w:t>No visiem piedāvājumiem, kas atbilst iepirkuma nolikuma prasībām, izvēlas</w:t>
      </w:r>
      <w:r w:rsidRPr="004D4EB6">
        <w:rPr>
          <w:b/>
          <w:bCs/>
        </w:rPr>
        <w:t xml:space="preserve"> </w:t>
      </w:r>
      <w:r w:rsidRPr="004D4EB6">
        <w:t>piedāvājumu ar viszemāko cenu.</w:t>
      </w:r>
    </w:p>
    <w:p w:rsidR="00D74EB6" w:rsidRPr="004D4EB6" w:rsidRDefault="00D74EB6" w:rsidP="00D74EB6">
      <w:pPr>
        <w:jc w:val="both"/>
        <w:rPr>
          <w:b/>
        </w:rPr>
      </w:pPr>
    </w:p>
    <w:p w:rsidR="00D74EB6" w:rsidRPr="004D4EB6" w:rsidRDefault="00D74EB6" w:rsidP="00D74EB6">
      <w:pPr>
        <w:rPr>
          <w:bCs/>
        </w:rPr>
      </w:pPr>
      <w:r w:rsidRPr="004D4EB6">
        <w:rPr>
          <w:b/>
        </w:rPr>
        <w:t>Piedāvājumu iesniegšanas termiņš:</w:t>
      </w:r>
    </w:p>
    <w:p w:rsidR="00D74EB6" w:rsidRPr="004D4EB6" w:rsidRDefault="00D74EB6" w:rsidP="00D74EB6">
      <w:pPr>
        <w:rPr>
          <w:bCs/>
        </w:rPr>
      </w:pPr>
      <w:r w:rsidRPr="004D4EB6">
        <w:rPr>
          <w:bCs/>
        </w:rPr>
        <w:t xml:space="preserve">Līdz 11.05.2018., plkst.13.00. </w:t>
      </w:r>
    </w:p>
    <w:p w:rsidR="00D74EB6" w:rsidRPr="004D4EB6" w:rsidRDefault="00D74EB6" w:rsidP="00D74EB6">
      <w:pPr>
        <w:rPr>
          <w:b/>
        </w:rPr>
      </w:pPr>
    </w:p>
    <w:p w:rsidR="00D74EB6" w:rsidRPr="004D4EB6" w:rsidRDefault="00D74EB6" w:rsidP="00D74EB6">
      <w:pPr>
        <w:rPr>
          <w:bCs/>
        </w:rPr>
      </w:pPr>
      <w:r w:rsidRPr="004D4EB6">
        <w:rPr>
          <w:b/>
        </w:rPr>
        <w:t>Piedāvājumu atvēršanas vieta, datums, laiks:</w:t>
      </w:r>
      <w:r w:rsidRPr="004D4EB6">
        <w:rPr>
          <w:bCs/>
        </w:rPr>
        <w:t xml:space="preserve"> </w:t>
      </w:r>
    </w:p>
    <w:p w:rsidR="00D74EB6" w:rsidRPr="004D4EB6" w:rsidRDefault="00D74EB6" w:rsidP="00D74EB6">
      <w:pPr>
        <w:jc w:val="both"/>
        <w:rPr>
          <w:bCs/>
        </w:rPr>
      </w:pPr>
      <w:r w:rsidRPr="004D4EB6">
        <w:rPr>
          <w:bCs/>
        </w:rPr>
        <w:t>Viļakas novada domē, Abrenes ielā 26, Viļakā, Viļakas novadā, 11.05.2018., plkst.13.00.</w:t>
      </w:r>
    </w:p>
    <w:p w:rsidR="00D74EB6" w:rsidRPr="004D4EB6" w:rsidRDefault="00D74EB6" w:rsidP="00D74EB6">
      <w:pPr>
        <w:pStyle w:val="NormalWeb"/>
        <w:spacing w:before="0"/>
        <w:ind w:right="71"/>
        <w:jc w:val="both"/>
        <w:rPr>
          <w:rFonts w:eastAsia="SimSun"/>
          <w:b/>
          <w:bCs/>
        </w:rPr>
      </w:pPr>
    </w:p>
    <w:p w:rsidR="00D74EB6" w:rsidRPr="004D4EB6" w:rsidRDefault="00D74EB6" w:rsidP="00D74EB6">
      <w:pPr>
        <w:pStyle w:val="NormalWeb"/>
        <w:spacing w:before="0"/>
        <w:ind w:right="71"/>
        <w:jc w:val="both"/>
        <w:rPr>
          <w:rFonts w:eastAsia="SimSun"/>
          <w:b/>
          <w:bCs/>
        </w:rPr>
      </w:pPr>
      <w:r w:rsidRPr="004D4EB6">
        <w:rPr>
          <w:rFonts w:eastAsia="SimSun"/>
          <w:b/>
          <w:bCs/>
        </w:rPr>
        <w:t>Piedāvājumu atvēršana:</w:t>
      </w:r>
    </w:p>
    <w:p w:rsidR="00D74EB6" w:rsidRPr="004D4EB6" w:rsidRDefault="00D74EB6" w:rsidP="00D74EB6">
      <w:pPr>
        <w:jc w:val="both"/>
        <w:rPr>
          <w:rFonts w:eastAsia="SimSun"/>
        </w:rPr>
      </w:pPr>
      <w:r w:rsidRPr="004D4EB6">
        <w:rPr>
          <w:bCs/>
        </w:rPr>
        <w:t>Viļakas novada domes</w:t>
      </w:r>
      <w:r w:rsidRPr="004D4EB6">
        <w:rPr>
          <w:rFonts w:eastAsia="SimSun"/>
        </w:rPr>
        <w:t xml:space="preserve"> Iepirkumu komisija (turpmāk – Komisija) līdz 11.05.2018., plkst.13.00 ir saņēmusi 2 (divu) pretendentu piedāvājumus, kas tika reģistrēti (</w:t>
      </w:r>
      <w:r w:rsidRPr="0085202F">
        <w:rPr>
          <w:rFonts w:eastAsia="SimSun"/>
        </w:rPr>
        <w:t>skat.</w:t>
      </w:r>
      <w:r w:rsidRPr="0085202F">
        <w:rPr>
          <w:rFonts w:eastAsia="SimSun"/>
          <w:iCs/>
        </w:rPr>
        <w:t xml:space="preserve"> Pielikumu Nr.1</w:t>
      </w:r>
      <w:r w:rsidRPr="0085202F">
        <w:rPr>
          <w:rFonts w:eastAsia="SimSun"/>
        </w:rPr>
        <w:t>)</w:t>
      </w:r>
      <w:r w:rsidRPr="004D4EB6">
        <w:rPr>
          <w:rFonts w:eastAsia="SimSun"/>
        </w:rPr>
        <w:t>.</w:t>
      </w:r>
    </w:p>
    <w:p w:rsidR="00D74EB6" w:rsidRPr="004D4EB6" w:rsidRDefault="00D74EB6" w:rsidP="00D74EB6">
      <w:pPr>
        <w:jc w:val="both"/>
      </w:pPr>
      <w:r w:rsidRPr="004D4EB6">
        <w:t>Sanāksmē piedalās arī 1 (viena) pretendenta pārstāvis, kurš pirms tam tika reģistrēts (skat. Pielikumu Nr.2).</w:t>
      </w:r>
    </w:p>
    <w:p w:rsidR="00D74EB6" w:rsidRPr="004D4EB6" w:rsidRDefault="00D74EB6" w:rsidP="00D74EB6">
      <w:pPr>
        <w:pStyle w:val="NormalWeb"/>
        <w:spacing w:before="0"/>
        <w:ind w:right="-1"/>
        <w:jc w:val="both"/>
      </w:pPr>
      <w:r w:rsidRPr="004D4EB6">
        <w:t xml:space="preserve">Komisijas priekšsēdētāja </w:t>
      </w:r>
      <w:proofErr w:type="spellStart"/>
      <w:r w:rsidRPr="004D4EB6">
        <w:t>T.Locāne</w:t>
      </w:r>
      <w:proofErr w:type="spellEnd"/>
      <w:r w:rsidRPr="004D4EB6">
        <w:t>, pēc piedāvājumu iesniegšanas termiņa beigām, atver iesniegtos piedāvājumus, paziņojot pretendentu, piedāvājuma iesniegšanas datumu un piedāvāto cenu</w:t>
      </w:r>
      <w:r w:rsidRPr="004D4EB6">
        <w:rPr>
          <w:bCs/>
          <w:iCs/>
        </w:rPr>
        <w:t>.</w:t>
      </w:r>
    </w:p>
    <w:p w:rsidR="00461E52" w:rsidRDefault="00461E52" w:rsidP="00D74EB6">
      <w:pPr>
        <w:pStyle w:val="NormalWeb"/>
        <w:spacing w:before="0"/>
        <w:ind w:right="71"/>
        <w:jc w:val="both"/>
        <w:rPr>
          <w:b/>
          <w:bCs/>
        </w:rPr>
      </w:pPr>
    </w:p>
    <w:p w:rsidR="00D74EB6" w:rsidRPr="004D4EB6" w:rsidRDefault="00D74EB6" w:rsidP="00D74EB6">
      <w:pPr>
        <w:pStyle w:val="NormalWeb"/>
        <w:spacing w:before="0"/>
        <w:ind w:right="71"/>
        <w:jc w:val="both"/>
        <w:rPr>
          <w:b/>
          <w:bCs/>
        </w:rPr>
      </w:pPr>
      <w:r w:rsidRPr="004D4EB6">
        <w:rPr>
          <w:b/>
          <w:bCs/>
        </w:rPr>
        <w:t>Iesniegtie piedāvājumi: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739"/>
        <w:gridCol w:w="2268"/>
        <w:gridCol w:w="2488"/>
      </w:tblGrid>
      <w:tr w:rsidR="00D74EB6" w:rsidRPr="004D4EB6" w:rsidTr="00447367">
        <w:trPr>
          <w:cantSplit/>
          <w:trHeight w:val="776"/>
        </w:trPr>
        <w:tc>
          <w:tcPr>
            <w:tcW w:w="792" w:type="dxa"/>
            <w:shd w:val="clear" w:color="auto" w:fill="E0E0E0"/>
          </w:tcPr>
          <w:p w:rsidR="00D74EB6" w:rsidRPr="004D4EB6" w:rsidRDefault="00D74EB6" w:rsidP="00447367">
            <w:pPr>
              <w:jc w:val="center"/>
              <w:rPr>
                <w:b/>
                <w:bCs/>
              </w:rPr>
            </w:pPr>
            <w:r w:rsidRPr="004D4EB6">
              <w:rPr>
                <w:b/>
                <w:bCs/>
              </w:rPr>
              <w:t>Nr.</w:t>
            </w:r>
          </w:p>
          <w:p w:rsidR="00D74EB6" w:rsidRPr="004D4EB6" w:rsidRDefault="00D74EB6" w:rsidP="00447367">
            <w:pPr>
              <w:jc w:val="center"/>
              <w:rPr>
                <w:b/>
                <w:bCs/>
              </w:rPr>
            </w:pPr>
            <w:r w:rsidRPr="004D4EB6">
              <w:rPr>
                <w:b/>
                <w:bCs/>
              </w:rPr>
              <w:t>p.k.</w:t>
            </w:r>
          </w:p>
        </w:tc>
        <w:tc>
          <w:tcPr>
            <w:tcW w:w="3739" w:type="dxa"/>
            <w:shd w:val="clear" w:color="auto" w:fill="E0E0E0"/>
          </w:tcPr>
          <w:p w:rsidR="00D74EB6" w:rsidRPr="004D4EB6" w:rsidRDefault="00D74EB6" w:rsidP="00447367">
            <w:pPr>
              <w:jc w:val="center"/>
              <w:rPr>
                <w:b/>
                <w:bCs/>
              </w:rPr>
            </w:pPr>
            <w:r w:rsidRPr="004D4EB6">
              <w:rPr>
                <w:b/>
                <w:bCs/>
              </w:rPr>
              <w:t>Pretendents</w:t>
            </w:r>
          </w:p>
          <w:p w:rsidR="00D74EB6" w:rsidRPr="004D4EB6" w:rsidRDefault="00D74EB6" w:rsidP="00447367">
            <w:pPr>
              <w:jc w:val="center"/>
              <w:rPr>
                <w:b/>
                <w:bCs/>
              </w:rPr>
            </w:pPr>
            <w:r w:rsidRPr="004D4EB6">
              <w:rPr>
                <w:b/>
                <w:bCs/>
              </w:rPr>
              <w:t>(juridiskai personai – nosaukums, fiziskai personai – vārds, uzvārds)</w:t>
            </w:r>
          </w:p>
        </w:tc>
        <w:tc>
          <w:tcPr>
            <w:tcW w:w="2268" w:type="dxa"/>
            <w:shd w:val="clear" w:color="auto" w:fill="E0E0E0"/>
          </w:tcPr>
          <w:p w:rsidR="00D74EB6" w:rsidRPr="004D4EB6" w:rsidRDefault="00D74EB6" w:rsidP="00447367">
            <w:pPr>
              <w:jc w:val="center"/>
              <w:rPr>
                <w:b/>
                <w:bCs/>
              </w:rPr>
            </w:pPr>
            <w:r w:rsidRPr="004D4EB6">
              <w:rPr>
                <w:b/>
                <w:bCs/>
              </w:rPr>
              <w:t>Piedāvājuma iesniegšanas datums, laiks</w:t>
            </w:r>
          </w:p>
        </w:tc>
        <w:tc>
          <w:tcPr>
            <w:tcW w:w="2488" w:type="dxa"/>
            <w:shd w:val="clear" w:color="auto" w:fill="E0E0E0"/>
          </w:tcPr>
          <w:p w:rsidR="00D74EB6" w:rsidRPr="004D4EB6" w:rsidRDefault="00D74EB6" w:rsidP="00447367">
            <w:pPr>
              <w:jc w:val="center"/>
              <w:rPr>
                <w:b/>
                <w:bCs/>
              </w:rPr>
            </w:pPr>
            <w:r w:rsidRPr="004D4EB6">
              <w:rPr>
                <w:b/>
                <w:bCs/>
              </w:rPr>
              <w:t>Piedāvājumu cena</w:t>
            </w:r>
          </w:p>
          <w:p w:rsidR="00D74EB6" w:rsidRPr="004D4EB6" w:rsidRDefault="00D74EB6" w:rsidP="00447367">
            <w:pPr>
              <w:tabs>
                <w:tab w:val="center" w:pos="319"/>
              </w:tabs>
              <w:jc w:val="center"/>
              <w:rPr>
                <w:b/>
                <w:bCs/>
              </w:rPr>
            </w:pPr>
            <w:r w:rsidRPr="004D4EB6">
              <w:rPr>
                <w:b/>
                <w:bCs/>
              </w:rPr>
              <w:t>(EUR bez PVN)</w:t>
            </w:r>
          </w:p>
        </w:tc>
      </w:tr>
      <w:tr w:rsidR="00D74EB6" w:rsidRPr="004D4EB6" w:rsidTr="00447367">
        <w:trPr>
          <w:cantSplit/>
        </w:trPr>
        <w:tc>
          <w:tcPr>
            <w:tcW w:w="792" w:type="dxa"/>
          </w:tcPr>
          <w:p w:rsidR="00D74EB6" w:rsidRPr="004D4EB6" w:rsidRDefault="00D74EB6" w:rsidP="00447367">
            <w:pPr>
              <w:jc w:val="center"/>
            </w:pPr>
            <w:r w:rsidRPr="004D4EB6">
              <w:t>1.</w:t>
            </w:r>
          </w:p>
        </w:tc>
        <w:tc>
          <w:tcPr>
            <w:tcW w:w="3739" w:type="dxa"/>
          </w:tcPr>
          <w:p w:rsidR="00D74EB6" w:rsidRPr="004D4EB6" w:rsidRDefault="00D74EB6" w:rsidP="00447367">
            <w:pPr>
              <w:rPr>
                <w:shd w:val="clear" w:color="auto" w:fill="FFFFFF"/>
              </w:rPr>
            </w:pPr>
            <w:r w:rsidRPr="004D4EB6">
              <w:rPr>
                <w:shd w:val="clear" w:color="auto" w:fill="FFFFFF"/>
              </w:rPr>
              <w:t xml:space="preserve">SIA “EZ </w:t>
            </w:r>
            <w:proofErr w:type="spellStart"/>
            <w:r w:rsidRPr="004D4EB6">
              <w:rPr>
                <w:shd w:val="clear" w:color="auto" w:fill="FFFFFF"/>
              </w:rPr>
              <w:t>floors</w:t>
            </w:r>
            <w:proofErr w:type="spellEnd"/>
            <w:r w:rsidRPr="004D4EB6">
              <w:rPr>
                <w:shd w:val="clear" w:color="auto" w:fill="FFFFFF"/>
              </w:rPr>
              <w:t>”</w:t>
            </w:r>
          </w:p>
        </w:tc>
        <w:tc>
          <w:tcPr>
            <w:tcW w:w="2268" w:type="dxa"/>
          </w:tcPr>
          <w:p w:rsidR="00D74EB6" w:rsidRPr="004D4EB6" w:rsidRDefault="00D74EB6" w:rsidP="00447367">
            <w:pPr>
              <w:jc w:val="center"/>
            </w:pPr>
            <w:r w:rsidRPr="004D4EB6">
              <w:t>10.05.2018.</w:t>
            </w:r>
          </w:p>
        </w:tc>
        <w:tc>
          <w:tcPr>
            <w:tcW w:w="2488" w:type="dxa"/>
          </w:tcPr>
          <w:p w:rsidR="00D74EB6" w:rsidRPr="004D4EB6" w:rsidRDefault="00D74EB6" w:rsidP="00447367">
            <w:pPr>
              <w:jc w:val="center"/>
            </w:pPr>
            <w:r w:rsidRPr="004D4EB6">
              <w:t>12 890.24</w:t>
            </w:r>
          </w:p>
        </w:tc>
      </w:tr>
      <w:tr w:rsidR="00D74EB6" w:rsidRPr="004D4EB6" w:rsidTr="00447367">
        <w:trPr>
          <w:cantSplit/>
        </w:trPr>
        <w:tc>
          <w:tcPr>
            <w:tcW w:w="792" w:type="dxa"/>
          </w:tcPr>
          <w:p w:rsidR="00D74EB6" w:rsidRPr="004D4EB6" w:rsidRDefault="00D74EB6" w:rsidP="00447367">
            <w:pPr>
              <w:jc w:val="center"/>
            </w:pPr>
            <w:r w:rsidRPr="004D4EB6">
              <w:t>2.</w:t>
            </w:r>
          </w:p>
        </w:tc>
        <w:tc>
          <w:tcPr>
            <w:tcW w:w="3739" w:type="dxa"/>
          </w:tcPr>
          <w:p w:rsidR="00D74EB6" w:rsidRPr="004D4EB6" w:rsidRDefault="00D74EB6" w:rsidP="00447367">
            <w:r w:rsidRPr="004D4EB6">
              <w:t>Sabiedrība ar ierobežotu atbildību “OZOLMĀJAS”</w:t>
            </w:r>
          </w:p>
        </w:tc>
        <w:tc>
          <w:tcPr>
            <w:tcW w:w="2268" w:type="dxa"/>
          </w:tcPr>
          <w:p w:rsidR="00D74EB6" w:rsidRPr="004D4EB6" w:rsidRDefault="00D74EB6" w:rsidP="00447367">
            <w:pPr>
              <w:jc w:val="center"/>
            </w:pPr>
            <w:r w:rsidRPr="004D4EB6">
              <w:t>10.05.2018.</w:t>
            </w:r>
          </w:p>
        </w:tc>
        <w:tc>
          <w:tcPr>
            <w:tcW w:w="2488" w:type="dxa"/>
          </w:tcPr>
          <w:p w:rsidR="00D74EB6" w:rsidRPr="004D4EB6" w:rsidRDefault="00D74EB6" w:rsidP="00447367">
            <w:pPr>
              <w:jc w:val="center"/>
            </w:pPr>
            <w:r w:rsidRPr="004D4EB6">
              <w:t>16 878.58</w:t>
            </w:r>
          </w:p>
        </w:tc>
      </w:tr>
    </w:tbl>
    <w:p w:rsidR="00D74EB6" w:rsidRPr="004D4EB6" w:rsidRDefault="00D74EB6" w:rsidP="00D74EB6">
      <w:pPr>
        <w:pStyle w:val="NormalWeb"/>
        <w:spacing w:before="0"/>
        <w:ind w:right="71"/>
        <w:rPr>
          <w:b/>
          <w:bCs/>
        </w:rPr>
      </w:pPr>
      <w:r w:rsidRPr="004D4EB6">
        <w:rPr>
          <w:b/>
          <w:bCs/>
        </w:rPr>
        <w:lastRenderedPageBreak/>
        <w:t>Piedāvājumu vērtēšana:</w:t>
      </w:r>
    </w:p>
    <w:p w:rsidR="00D74EB6" w:rsidRPr="004D4EB6" w:rsidRDefault="00D74EB6" w:rsidP="00D74EB6">
      <w:pPr>
        <w:pStyle w:val="NormalWeb"/>
        <w:spacing w:before="0"/>
        <w:ind w:right="71"/>
        <w:jc w:val="both"/>
      </w:pPr>
      <w:r w:rsidRPr="004D4EB6">
        <w:t>Komisija 14.05.2018. sēdē uzsāk dokumentu pārbaudi un izvērtēšanu:</w:t>
      </w:r>
    </w:p>
    <w:p w:rsidR="00D74EB6" w:rsidRPr="004D4EB6" w:rsidRDefault="00D74EB6" w:rsidP="00D74EB6">
      <w:pPr>
        <w:pStyle w:val="NormalWeb"/>
        <w:numPr>
          <w:ilvl w:val="0"/>
          <w:numId w:val="4"/>
        </w:numPr>
        <w:spacing w:before="0"/>
        <w:ind w:right="71"/>
        <w:jc w:val="both"/>
      </w:pPr>
      <w:r w:rsidRPr="004D4EB6">
        <w:t>Komisija pārbauda piedāvājumu atbilstību iepirkuma nolikuma (turpmāk – Nolikums) 7.punktā norādītajām noformēšanas prasībām.</w:t>
      </w:r>
    </w:p>
    <w:p w:rsidR="00D74EB6" w:rsidRPr="004D4EB6" w:rsidRDefault="00D74EB6" w:rsidP="00D74EB6">
      <w:pPr>
        <w:pStyle w:val="NormalWeb"/>
        <w:spacing w:before="0"/>
        <w:ind w:left="720" w:right="71"/>
        <w:jc w:val="both"/>
      </w:pPr>
      <w:r w:rsidRPr="004D4EB6">
        <w:t xml:space="preserve">Komisija konstatē, ka pretendents – SIA “EZ </w:t>
      </w:r>
      <w:proofErr w:type="spellStart"/>
      <w:r w:rsidRPr="004D4EB6">
        <w:t>floors</w:t>
      </w:r>
      <w:proofErr w:type="spellEnd"/>
      <w:r w:rsidRPr="004D4EB6">
        <w:t xml:space="preserve">” – uz aploksnes nav norādījis uzņēmuma tālruņa numuru un e-pasta adresi, kā arī </w:t>
      </w:r>
      <w:proofErr w:type="spellStart"/>
      <w:r w:rsidRPr="004D4EB6">
        <w:t>caušūtajm</w:t>
      </w:r>
      <w:proofErr w:type="spellEnd"/>
      <w:r w:rsidRPr="004D4EB6">
        <w:t xml:space="preserve"> dokumentam nav norādījis caurauklojumu parakstījušās personas amata nosaukumu, paraksta atšifrējumu, vietu un datumu.</w:t>
      </w:r>
    </w:p>
    <w:p w:rsidR="00D74EB6" w:rsidRPr="004D4EB6" w:rsidRDefault="00D74EB6" w:rsidP="00D74EB6">
      <w:pPr>
        <w:pStyle w:val="NormalWeb"/>
        <w:spacing w:before="0"/>
        <w:ind w:left="720" w:right="71"/>
        <w:jc w:val="both"/>
      </w:pPr>
      <w:r w:rsidRPr="004D4EB6">
        <w:t>Saskaņā ar Nolikuma 11.2.punktu, piedāvājums, kas neatbilst noformējuma prasībām var tikt noraidīts tikai tad, ja tā neatbilstība ir būtiska – Komisija konstatētās nepilnības neuzskata par būtiskām un turpina abu piedāvājumu izvērtēšanu.</w:t>
      </w:r>
    </w:p>
    <w:p w:rsidR="00D74EB6" w:rsidRPr="004D4EB6" w:rsidRDefault="00D74EB6" w:rsidP="00D74EB6">
      <w:pPr>
        <w:pStyle w:val="NormalWeb"/>
        <w:spacing w:before="0"/>
        <w:ind w:right="71"/>
        <w:jc w:val="both"/>
      </w:pPr>
    </w:p>
    <w:p w:rsidR="00D74EB6" w:rsidRPr="004D4EB6" w:rsidRDefault="00D74EB6" w:rsidP="00D74EB6">
      <w:pPr>
        <w:pStyle w:val="NormalWeb"/>
        <w:numPr>
          <w:ilvl w:val="0"/>
          <w:numId w:val="4"/>
        </w:numPr>
        <w:spacing w:before="0"/>
        <w:ind w:right="71"/>
        <w:jc w:val="both"/>
      </w:pPr>
      <w:r w:rsidRPr="004D4EB6">
        <w:t>Komisija veic pretendentu kvalifikācijas dokumentu pārbaudi, atbilstoši Nolikuma 8.punkta prasībām.</w:t>
      </w:r>
    </w:p>
    <w:p w:rsidR="00D74EB6" w:rsidRPr="004D4EB6" w:rsidRDefault="00D74EB6" w:rsidP="00D74EB6">
      <w:pPr>
        <w:pStyle w:val="NormalWeb"/>
        <w:spacing w:before="0"/>
        <w:ind w:left="720" w:right="71"/>
        <w:jc w:val="both"/>
      </w:pPr>
      <w:r w:rsidRPr="004D4EB6">
        <w:t xml:space="preserve">Komisija konstatē, ka pretendents – SIA “EZ </w:t>
      </w:r>
      <w:proofErr w:type="spellStart"/>
      <w:r w:rsidRPr="004D4EB6">
        <w:t>floors</w:t>
      </w:r>
      <w:proofErr w:type="spellEnd"/>
      <w:r w:rsidRPr="004D4EB6">
        <w:t xml:space="preserve">” – </w:t>
      </w:r>
      <w:proofErr w:type="spellStart"/>
      <w:r w:rsidRPr="004D4EB6">
        <w:t>C.sadaļas</w:t>
      </w:r>
      <w:proofErr w:type="spellEnd"/>
      <w:r w:rsidRPr="004D4EB6">
        <w:t xml:space="preserve"> Finanšu un tehniskā piedāvājuma veidlapas 4.4.punktā norādījis, ka tā sertificētais speciālists ir apakšuzņēmēja darbinieks, un papildus informācija tālāk nav sniegta ne </w:t>
      </w:r>
      <w:proofErr w:type="spellStart"/>
      <w:r w:rsidRPr="004D4EB6">
        <w:t>C.sadaļas</w:t>
      </w:r>
      <w:proofErr w:type="spellEnd"/>
      <w:r w:rsidRPr="004D4EB6">
        <w:t xml:space="preserve"> Finanšu un tehniskā piedāvājuma veidlapas 4.5.punktā – “Personas, uz kuru iespējām pretendents balstās”, ne 4.6.punktā – “Pretendenta apakšuzņēmēji, kuru veikto darbu vērtība ir vismaz 10% no kopējās līguma vērtības vai lielāka”.</w:t>
      </w:r>
    </w:p>
    <w:p w:rsidR="00D74EB6" w:rsidRPr="004D4EB6" w:rsidRDefault="00D74EB6" w:rsidP="00D74EB6">
      <w:pPr>
        <w:pStyle w:val="NormalWeb"/>
        <w:spacing w:before="0"/>
        <w:ind w:left="720" w:right="71"/>
        <w:jc w:val="both"/>
      </w:pPr>
      <w:r w:rsidRPr="004D4EB6">
        <w:t>No iepriekšminētā Komisija secina, ka pretendents kļūdaini izpratis iepirkuma nosacījumus, uzskatot, ka tā sertificētais speciālists, kas ir apakšuzņēmēja darbinieks, iepirkumā kvalificējams kā pretendenta apakšuzņēmējs, kura veikto darbu vērtība ir mazāka par 10% no kopējās līguma vērtības, un papildus ziņas nav jāsniedz.</w:t>
      </w:r>
    </w:p>
    <w:p w:rsidR="00D74EB6" w:rsidRPr="004D4EB6" w:rsidRDefault="00D74EB6" w:rsidP="00D74EB6">
      <w:pPr>
        <w:pStyle w:val="NormalWeb"/>
        <w:spacing w:before="0"/>
        <w:ind w:left="720" w:right="71"/>
        <w:jc w:val="both"/>
      </w:pPr>
    </w:p>
    <w:p w:rsidR="00D74EB6" w:rsidRPr="004D4EB6" w:rsidRDefault="00D74EB6" w:rsidP="00D74EB6">
      <w:pPr>
        <w:pStyle w:val="NormalWeb"/>
        <w:spacing w:before="0"/>
        <w:ind w:left="720" w:right="71"/>
        <w:jc w:val="both"/>
      </w:pPr>
      <w:r w:rsidRPr="004D4EB6">
        <w:t xml:space="preserve">Saskaņā ar </w:t>
      </w:r>
      <w:proofErr w:type="spellStart"/>
      <w:r w:rsidRPr="004D4EB6">
        <w:t>A.sadaļas</w:t>
      </w:r>
      <w:proofErr w:type="spellEnd"/>
      <w:r w:rsidRPr="004D4EB6">
        <w:t xml:space="preserve"> Vispārējie noteikumi pretendentiem 8.5punktu, pretendenta rīcībā ir jābūt sertificētam speciālists ēku būvdarbu vadīšanā.</w:t>
      </w:r>
    </w:p>
    <w:p w:rsidR="00D74EB6" w:rsidRPr="004D4EB6" w:rsidRDefault="00D74EB6" w:rsidP="00D74EB6">
      <w:pPr>
        <w:pStyle w:val="NormalWeb"/>
        <w:spacing w:before="0"/>
        <w:ind w:left="720" w:right="71"/>
        <w:jc w:val="both"/>
      </w:pPr>
      <w:r w:rsidRPr="004D4EB6">
        <w:t xml:space="preserve">Saskaņā ar 8.6.punktu, </w:t>
      </w:r>
      <w:r w:rsidRPr="004D4EB6">
        <w:rPr>
          <w:bCs/>
        </w:rPr>
        <w:t>pretendents var balstīties uz citas personas profesionālajām iespējam, neatkarīgi no savstarpējo attiecību tiesiskā rakstura. Šādā gadījumā pretendents pierāda, ka tā rīcībā būs nepieciešamie resursi.</w:t>
      </w:r>
    </w:p>
    <w:p w:rsidR="00D74EB6" w:rsidRPr="004D4EB6" w:rsidRDefault="00D74EB6" w:rsidP="00D74EB6">
      <w:pPr>
        <w:pStyle w:val="NormalWeb"/>
        <w:spacing w:before="0"/>
        <w:ind w:left="720" w:right="71"/>
        <w:jc w:val="both"/>
      </w:pPr>
      <w:r w:rsidRPr="004D4EB6">
        <w:t>Saskaņā ar 8.8.punktu, pretendents konkrētu darbu/pakalpojumu izpildei var piesaistīt apakšuzņēmējus.</w:t>
      </w:r>
    </w:p>
    <w:p w:rsidR="00D74EB6" w:rsidRPr="004D4EB6" w:rsidRDefault="00D74EB6" w:rsidP="00D74EB6">
      <w:pPr>
        <w:pStyle w:val="NormalWeb"/>
        <w:spacing w:before="0"/>
        <w:ind w:left="720" w:right="71"/>
        <w:jc w:val="both"/>
      </w:pPr>
      <w:r w:rsidRPr="004D4EB6">
        <w:t xml:space="preserve">No iepriekšminētā izriet, ka sertificētā speciālista piesaiste ir </w:t>
      </w:r>
      <w:r w:rsidRPr="004D4EB6">
        <w:rPr>
          <w:bCs/>
        </w:rPr>
        <w:t>pretendenta balstīšanās uz citas personas profesionālajām iespējam, nevis konkrētu darbu/</w:t>
      </w:r>
      <w:proofErr w:type="spellStart"/>
      <w:r w:rsidRPr="004D4EB6">
        <w:rPr>
          <w:bCs/>
        </w:rPr>
        <w:t>pakalpojumumizpilde</w:t>
      </w:r>
      <w:proofErr w:type="spellEnd"/>
      <w:r w:rsidRPr="004D4EB6">
        <w:rPr>
          <w:bCs/>
        </w:rPr>
        <w:t xml:space="preserve">, tādējādi pretendentam papildus bija jāaizpilda </w:t>
      </w:r>
      <w:proofErr w:type="spellStart"/>
      <w:r w:rsidRPr="004D4EB6">
        <w:t>C.sadaļas</w:t>
      </w:r>
      <w:proofErr w:type="spellEnd"/>
      <w:r w:rsidRPr="004D4EB6">
        <w:t xml:space="preserve"> Finanšu un tehniskā piedāvājuma veidlapas 4.5.punkts – “Personas, uz kuru iespējām pretendents balstās” un piedāvājumam jāpievieno šīs personas apliecinājums vai vienošanās ar to par nepieciešamo resursu nodošanu pretendenta rīcībā.</w:t>
      </w:r>
    </w:p>
    <w:p w:rsidR="00D74EB6" w:rsidRPr="004D4EB6" w:rsidRDefault="00D74EB6" w:rsidP="00D74EB6">
      <w:pPr>
        <w:pStyle w:val="NormalWeb"/>
        <w:spacing w:before="0"/>
        <w:ind w:left="720" w:right="71"/>
        <w:jc w:val="both"/>
      </w:pPr>
    </w:p>
    <w:p w:rsidR="00D74EB6" w:rsidRDefault="00D74EB6" w:rsidP="00D74EB6">
      <w:pPr>
        <w:pStyle w:val="NormalWeb"/>
        <w:spacing w:before="0"/>
        <w:ind w:left="720" w:right="71"/>
        <w:jc w:val="both"/>
      </w:pPr>
      <w:r w:rsidRPr="004D4EB6">
        <w:t>Saskaņā ar Nolikuma 11.4.punktu, ja Komisija konstatē, ka, atbilstoši Nolikuma 8.punkta nosacījumiem, iesniegtajos dokumentos ietvertā informācija ir neskaidra vai nepilnīga, tā pieprasa, lai pretendents, Komisijas noteiktajā termiņā, izskaidro vai papildina šajos dokumentos ietverto informāciju.</w:t>
      </w:r>
    </w:p>
    <w:p w:rsidR="00D74EB6" w:rsidRDefault="00D74EB6" w:rsidP="00D74EB6">
      <w:pPr>
        <w:pStyle w:val="NormalWeb"/>
        <w:spacing w:before="0"/>
        <w:ind w:left="720" w:right="71"/>
        <w:jc w:val="both"/>
      </w:pPr>
    </w:p>
    <w:p w:rsidR="00D74EB6" w:rsidRPr="004D4EB6" w:rsidRDefault="00D74EB6" w:rsidP="00D74EB6">
      <w:pPr>
        <w:pStyle w:val="NormalWeb"/>
        <w:spacing w:before="0"/>
        <w:ind w:left="720" w:right="71"/>
        <w:jc w:val="both"/>
      </w:pPr>
      <w:r>
        <w:t xml:space="preserve">Pretendenta – </w:t>
      </w:r>
      <w:r w:rsidRPr="004D4EB6">
        <w:t>Sabiedrīb</w:t>
      </w:r>
      <w:r>
        <w:t>as</w:t>
      </w:r>
      <w:r w:rsidRPr="004D4EB6">
        <w:t xml:space="preserve"> ar ierobežotu atbildību “OZOLMĀJAS” –</w:t>
      </w:r>
      <w:r>
        <w:t xml:space="preserve"> piedāvājums atbilst visām </w:t>
      </w:r>
      <w:r w:rsidRPr="004D4EB6">
        <w:t>Nolikuma 8.punkta</w:t>
      </w:r>
      <w:r>
        <w:t xml:space="preserve"> prasībām. </w:t>
      </w:r>
    </w:p>
    <w:p w:rsidR="00D74EB6" w:rsidRPr="004D4EB6" w:rsidRDefault="00D74EB6" w:rsidP="00D74EB6">
      <w:pPr>
        <w:pStyle w:val="NormalWeb"/>
        <w:spacing w:before="0"/>
        <w:ind w:left="720" w:right="71"/>
        <w:jc w:val="both"/>
      </w:pPr>
    </w:p>
    <w:p w:rsidR="00D74EB6" w:rsidRPr="004D4EB6" w:rsidRDefault="00D74EB6" w:rsidP="00D74EB6">
      <w:pPr>
        <w:pStyle w:val="NormalWeb"/>
        <w:numPr>
          <w:ilvl w:val="0"/>
          <w:numId w:val="4"/>
        </w:numPr>
        <w:spacing w:before="0"/>
        <w:ind w:right="71"/>
        <w:jc w:val="both"/>
      </w:pPr>
      <w:r w:rsidRPr="004D4EB6">
        <w:t xml:space="preserve">Komisija veic pretendentu piedāvājumu atbilstības pārbaudi Nolikuma </w:t>
      </w:r>
      <w:proofErr w:type="spellStart"/>
      <w:r w:rsidRPr="004D4EB6">
        <w:t>B.sadaļas</w:t>
      </w:r>
      <w:proofErr w:type="spellEnd"/>
      <w:r w:rsidRPr="004D4EB6">
        <w:t xml:space="preserve"> Tehniskajai specifikācijai – abu pretendentu piedāvājumi atbilst pasūtītāja Tehniskajai specifikācijai.</w:t>
      </w:r>
    </w:p>
    <w:p w:rsidR="00D74EB6" w:rsidRPr="004D4EB6" w:rsidRDefault="00D74EB6" w:rsidP="00D74EB6">
      <w:pPr>
        <w:pStyle w:val="NormalWeb"/>
        <w:spacing w:before="0"/>
        <w:ind w:left="720" w:right="71"/>
        <w:jc w:val="both"/>
      </w:pPr>
    </w:p>
    <w:p w:rsidR="00D74EB6" w:rsidRPr="004D4EB6" w:rsidRDefault="00D74EB6" w:rsidP="00D74EB6">
      <w:pPr>
        <w:pStyle w:val="NormalWeb"/>
        <w:numPr>
          <w:ilvl w:val="0"/>
          <w:numId w:val="4"/>
        </w:numPr>
        <w:spacing w:before="0"/>
        <w:ind w:right="71"/>
        <w:jc w:val="both"/>
      </w:pPr>
      <w:r w:rsidRPr="004D4EB6">
        <w:lastRenderedPageBreak/>
        <w:t>Piedāvājumu vērtēšanas laikā Komisija pārbauda, vai finanšu piedāvājumā nav aritmētisko kļūdu.</w:t>
      </w:r>
    </w:p>
    <w:p w:rsidR="00D74EB6" w:rsidRPr="004D4EB6" w:rsidRDefault="00D74EB6" w:rsidP="00D74EB6">
      <w:pPr>
        <w:pStyle w:val="NormalWeb"/>
        <w:spacing w:before="0"/>
        <w:ind w:left="709" w:right="71"/>
        <w:jc w:val="both"/>
      </w:pPr>
      <w:r w:rsidRPr="004D4EB6">
        <w:rPr>
          <w:lang w:eastAsia="ar-SA"/>
        </w:rPr>
        <w:t xml:space="preserve">Komisija konstatē, ka </w:t>
      </w:r>
      <w:r w:rsidRPr="004D4EB6">
        <w:t xml:space="preserve">pretendents – SIA “EZ </w:t>
      </w:r>
      <w:proofErr w:type="spellStart"/>
      <w:r w:rsidRPr="004D4EB6">
        <w:t>floors</w:t>
      </w:r>
      <w:proofErr w:type="spellEnd"/>
      <w:r w:rsidRPr="004D4EB6">
        <w:t>” – finanšu piedāvājuma tāmē nav pareizi piemērojis darba devēja valsts sociālās apdrošināšanas obligāto iemaksu likmi, kas no 01.01.2018. ir mainījusies no 23.59% uz 24.09%.</w:t>
      </w:r>
    </w:p>
    <w:p w:rsidR="00D74EB6" w:rsidRPr="004D4EB6" w:rsidRDefault="00D74EB6" w:rsidP="00D74EB6">
      <w:pPr>
        <w:ind w:left="709"/>
        <w:jc w:val="both"/>
      </w:pPr>
      <w:r w:rsidRPr="004D4EB6">
        <w:t>Saskaņā ar Nolikuma 11.6.punktu, ja aritmētiskās kļūdas tiek konstatētas, Komisija tās izlabo:</w:t>
      </w:r>
    </w:p>
    <w:p w:rsidR="00D74EB6" w:rsidRPr="004D4EB6" w:rsidRDefault="00D74EB6" w:rsidP="00D74EB6">
      <w:pPr>
        <w:pStyle w:val="ListParagraph"/>
        <w:numPr>
          <w:ilvl w:val="0"/>
          <w:numId w:val="12"/>
        </w:numPr>
        <w:jc w:val="both"/>
      </w:pPr>
      <w:r w:rsidRPr="004D4EB6">
        <w:t>pretendenta piedāvāta līgumcena bez PVN – EUR 12 890.24;</w:t>
      </w:r>
    </w:p>
    <w:p w:rsidR="00D74EB6" w:rsidRPr="004D4EB6" w:rsidRDefault="00D74EB6" w:rsidP="00D74EB6">
      <w:pPr>
        <w:pStyle w:val="ListParagraph"/>
        <w:numPr>
          <w:ilvl w:val="0"/>
          <w:numId w:val="12"/>
        </w:numPr>
        <w:jc w:val="both"/>
      </w:pPr>
      <w:r w:rsidRPr="004D4EB6">
        <w:t>Komisijas labotā līgumcena – EUR 12 910.27.</w:t>
      </w:r>
    </w:p>
    <w:p w:rsidR="00D74EB6" w:rsidRPr="004D4EB6" w:rsidRDefault="00D74EB6" w:rsidP="00D74EB6">
      <w:pPr>
        <w:ind w:left="709"/>
        <w:jc w:val="both"/>
      </w:pPr>
      <w:r w:rsidRPr="004D4EB6">
        <w:t>Par kļūdu labojumu un laboto piedāvājuma summu Komisija paziņo pretendentam, kura pieļautās kļūdas ir labotas. Vērtējot finanšu piedāvājumu, Komisija ņem vērā labojumus.</w:t>
      </w:r>
    </w:p>
    <w:p w:rsidR="00D74EB6" w:rsidRPr="004D4EB6" w:rsidRDefault="00D74EB6" w:rsidP="00D74EB6">
      <w:pPr>
        <w:pStyle w:val="NormalWeb"/>
        <w:spacing w:before="0"/>
        <w:ind w:right="71"/>
        <w:jc w:val="both"/>
      </w:pPr>
    </w:p>
    <w:p w:rsidR="00D74EB6" w:rsidRPr="004D4EB6" w:rsidRDefault="00D74EB6" w:rsidP="00D74EB6">
      <w:pPr>
        <w:pStyle w:val="NormalWeb"/>
        <w:numPr>
          <w:ilvl w:val="0"/>
          <w:numId w:val="4"/>
        </w:numPr>
        <w:spacing w:before="0"/>
        <w:ind w:right="71"/>
        <w:jc w:val="both"/>
      </w:pPr>
      <w:r w:rsidRPr="004D4EB6">
        <w:t>Komisija izvērtē finanšu piedāvājuma cenu, pārliecinoties, vai nav iesniegts pārāk lēts piedāvājums – Komisijai piedāvātā cena aizdomas nerada.</w:t>
      </w:r>
    </w:p>
    <w:p w:rsidR="00D74EB6" w:rsidRPr="004D4EB6" w:rsidRDefault="00D74EB6" w:rsidP="00D74EB6">
      <w:pPr>
        <w:pStyle w:val="NormalWeb"/>
        <w:spacing w:before="0"/>
        <w:ind w:left="720" w:right="71"/>
        <w:jc w:val="both"/>
      </w:pPr>
    </w:p>
    <w:p w:rsidR="00D74EB6" w:rsidRPr="004D4EB6" w:rsidRDefault="00D74EB6" w:rsidP="00D74EB6">
      <w:pPr>
        <w:pStyle w:val="NormalWeb"/>
        <w:numPr>
          <w:ilvl w:val="0"/>
          <w:numId w:val="4"/>
        </w:numPr>
        <w:spacing w:before="0"/>
        <w:ind w:right="71"/>
        <w:jc w:val="both"/>
      </w:pPr>
      <w:r w:rsidRPr="004D4EB6">
        <w:t>17.05.2018. Komisija nosūta papildinformācijas pieprasījumu, nosakot iesniegšanas termiņu (</w:t>
      </w:r>
      <w:r w:rsidRPr="0085202F">
        <w:rPr>
          <w:rFonts w:eastAsia="SimSun"/>
        </w:rPr>
        <w:t>skat.</w:t>
      </w:r>
      <w:r w:rsidRPr="0085202F">
        <w:rPr>
          <w:rFonts w:eastAsia="SimSun"/>
          <w:iCs/>
        </w:rPr>
        <w:t xml:space="preserve"> Pielikumu Nr.</w:t>
      </w:r>
      <w:r>
        <w:rPr>
          <w:rFonts w:eastAsia="SimSun"/>
          <w:iCs/>
        </w:rPr>
        <w:t>7</w:t>
      </w:r>
      <w:r w:rsidRPr="004D4EB6">
        <w:t>). Līdz papildinformācijas saņemšanai, piedāvājumu vērtēšana tiek pārtraukta.</w:t>
      </w:r>
    </w:p>
    <w:p w:rsidR="00D74EB6" w:rsidRPr="004D4EB6" w:rsidRDefault="00D74EB6" w:rsidP="00D74EB6">
      <w:pPr>
        <w:pStyle w:val="NormalWeb"/>
        <w:spacing w:before="0"/>
        <w:ind w:right="71"/>
        <w:jc w:val="both"/>
      </w:pPr>
    </w:p>
    <w:p w:rsidR="00D74EB6" w:rsidRPr="004D4EB6" w:rsidRDefault="00D74EB6" w:rsidP="00D74EB6">
      <w:pPr>
        <w:pStyle w:val="NormalWeb"/>
        <w:numPr>
          <w:ilvl w:val="0"/>
          <w:numId w:val="4"/>
        </w:numPr>
        <w:spacing w:before="0"/>
        <w:ind w:right="71"/>
        <w:jc w:val="both"/>
      </w:pPr>
      <w:r w:rsidRPr="004D4EB6">
        <w:t>25.05.2018. Komisija turpina piedāvājumu vērtēšanu.</w:t>
      </w:r>
    </w:p>
    <w:p w:rsidR="00D74EB6" w:rsidRPr="004D4EB6" w:rsidRDefault="00D74EB6" w:rsidP="00D74EB6">
      <w:pPr>
        <w:pStyle w:val="NormalWeb"/>
        <w:spacing w:before="0"/>
        <w:ind w:left="709" w:right="71"/>
        <w:jc w:val="both"/>
      </w:pPr>
      <w:bookmarkStart w:id="1" w:name="_Hlk514971064"/>
      <w:r w:rsidRPr="004D4EB6">
        <w:t>Pretendent</w:t>
      </w:r>
      <w:r>
        <w:t>s</w:t>
      </w:r>
      <w:r w:rsidRPr="004D4EB6">
        <w:t xml:space="preserve"> – SIA “EZ </w:t>
      </w:r>
      <w:proofErr w:type="spellStart"/>
      <w:r w:rsidRPr="004D4EB6">
        <w:t>floors</w:t>
      </w:r>
      <w:proofErr w:type="spellEnd"/>
      <w:r w:rsidRPr="004D4EB6">
        <w:t>” – noteiktajā termiņā pieprasīto papildinformāciju nav sniedzis. Saskaņā ar Nolikuma 11.4.punktu, ja pretendents nav sniedzis pieprasītās informācijas skaidrojumu vai papildinājumu, atbilstoši Komisijas noteiktajām prasībām, Komisija piedāvājumu vērtē pēc tās rīcībā esošās informācijas.</w:t>
      </w:r>
    </w:p>
    <w:p w:rsidR="00D74EB6" w:rsidRPr="004D4EB6" w:rsidRDefault="00D74EB6" w:rsidP="00D74EB6">
      <w:pPr>
        <w:pStyle w:val="NormalWeb"/>
        <w:spacing w:before="0"/>
        <w:ind w:left="709" w:right="71"/>
        <w:jc w:val="both"/>
      </w:pPr>
      <w:r w:rsidRPr="004D4EB6">
        <w:t xml:space="preserve">Komisija, vērtējot </w:t>
      </w:r>
      <w:r>
        <w:t xml:space="preserve">piedāvājumu </w:t>
      </w:r>
      <w:r w:rsidRPr="004D4EB6">
        <w:t>pēc tās rīcībā esošās informācijas, secina, ka:</w:t>
      </w:r>
    </w:p>
    <w:p w:rsidR="00D74EB6" w:rsidRPr="004D4EB6" w:rsidRDefault="00D74EB6" w:rsidP="00D74EB6">
      <w:pPr>
        <w:pStyle w:val="NormalWeb"/>
        <w:numPr>
          <w:ilvl w:val="0"/>
          <w:numId w:val="14"/>
        </w:numPr>
        <w:spacing w:before="0"/>
        <w:ind w:right="71"/>
        <w:jc w:val="both"/>
      </w:pPr>
      <w:r w:rsidRPr="004D4EB6">
        <w:t xml:space="preserve">par personu, uz kuras iespējām pretendents – SIA “EZ </w:t>
      </w:r>
      <w:proofErr w:type="spellStart"/>
      <w:r w:rsidRPr="004D4EB6">
        <w:t>floors</w:t>
      </w:r>
      <w:proofErr w:type="spellEnd"/>
      <w:r w:rsidRPr="004D4EB6">
        <w:t>” – balstās, Komisijai nav pietiekami ziņu, lai veiktu izslēgšanas nosacījumu pārbaudi;</w:t>
      </w:r>
    </w:p>
    <w:p w:rsidR="00D74EB6" w:rsidRPr="004D4EB6" w:rsidRDefault="00D74EB6" w:rsidP="00D74EB6">
      <w:pPr>
        <w:pStyle w:val="NormalWeb"/>
        <w:numPr>
          <w:ilvl w:val="0"/>
          <w:numId w:val="14"/>
        </w:numPr>
        <w:spacing w:before="0"/>
        <w:ind w:right="71"/>
        <w:jc w:val="both"/>
      </w:pPr>
      <w:r w:rsidRPr="004D4EB6">
        <w:t xml:space="preserve">piedāvājumam nav pievienots personas, uz kuras iespējām pretendents – SIA “EZ </w:t>
      </w:r>
      <w:proofErr w:type="spellStart"/>
      <w:r w:rsidRPr="004D4EB6">
        <w:t>floors</w:t>
      </w:r>
      <w:proofErr w:type="spellEnd"/>
      <w:r w:rsidRPr="004D4EB6">
        <w:t xml:space="preserve">” – balstās apliecinājums vai vienošanās ar to par nepieciešamo resursu nodošanu pretendenta rīcībā. </w:t>
      </w:r>
    </w:p>
    <w:p w:rsidR="00D74EB6" w:rsidRPr="004D4EB6" w:rsidRDefault="00D74EB6" w:rsidP="00D74EB6">
      <w:pPr>
        <w:pStyle w:val="NormalWeb"/>
        <w:spacing w:before="0"/>
        <w:ind w:left="720" w:right="71"/>
        <w:jc w:val="both"/>
        <w:rPr>
          <w:b/>
        </w:rPr>
      </w:pPr>
      <w:r w:rsidRPr="004D4EB6">
        <w:t xml:space="preserve">Saskaņā ar Nolikuma 11.3.punktu, ja pretendents nav iesniedzis kādu no pieprasītajiem dokumentiem, piedāvājums netiek vērtēts. Tādējādi, </w:t>
      </w:r>
      <w:r w:rsidRPr="004D4EB6">
        <w:rPr>
          <w:b/>
        </w:rPr>
        <w:t xml:space="preserve">pretendenta – SIA “EZ </w:t>
      </w:r>
      <w:proofErr w:type="spellStart"/>
      <w:r w:rsidRPr="004D4EB6">
        <w:rPr>
          <w:b/>
        </w:rPr>
        <w:t>floors</w:t>
      </w:r>
      <w:proofErr w:type="spellEnd"/>
      <w:r w:rsidRPr="004D4EB6">
        <w:rPr>
          <w:b/>
        </w:rPr>
        <w:t>” – piedāvājums tālāk vērtēts netiek.</w:t>
      </w:r>
    </w:p>
    <w:bookmarkEnd w:id="1"/>
    <w:p w:rsidR="00D74EB6" w:rsidRPr="004D4EB6" w:rsidRDefault="00D74EB6" w:rsidP="00D74EB6"/>
    <w:p w:rsidR="00D74EB6" w:rsidRPr="004D4EB6" w:rsidRDefault="00D74EB6" w:rsidP="00D74EB6">
      <w:pPr>
        <w:pStyle w:val="NormalWeb"/>
        <w:numPr>
          <w:ilvl w:val="0"/>
          <w:numId w:val="4"/>
        </w:numPr>
        <w:spacing w:before="0"/>
        <w:ind w:right="71"/>
        <w:jc w:val="both"/>
      </w:pPr>
      <w:r w:rsidRPr="004D4EB6">
        <w:t>Komisija pieņem lēmuma par līguma slēgšanas tiesību piešķiršanu.</w:t>
      </w:r>
    </w:p>
    <w:p w:rsidR="00D74EB6" w:rsidRPr="004D4EB6" w:rsidRDefault="00D74EB6" w:rsidP="00D74EB6">
      <w:pPr>
        <w:pStyle w:val="NormalWeb"/>
        <w:spacing w:before="0"/>
        <w:ind w:left="720" w:right="71"/>
        <w:jc w:val="both"/>
      </w:pPr>
      <w:r w:rsidRPr="004D4EB6">
        <w:t>Saskaņa ar Nolikuma 8.9.punktu, lēmuma par līguma slēgšanas tiesību piešķiršanu pieņemšanas</w:t>
      </w:r>
      <w:r w:rsidRPr="004D4EB6">
        <w:rPr>
          <w:shd w:val="clear" w:color="auto" w:fill="FFFFFF"/>
        </w:rPr>
        <w:t xml:space="preserve"> </w:t>
      </w:r>
      <w:r w:rsidRPr="004D4EB6">
        <w:rPr>
          <w:rFonts w:eastAsia="SimSun"/>
          <w:lang w:eastAsia="zh-CN"/>
        </w:rPr>
        <w:t>dienā,</w:t>
      </w:r>
      <w:r w:rsidRPr="004D4EB6">
        <w:t xml:space="preserve"> Komisija veic pretendenta ar zemāko cenu, kurš atbilst visām Nolikuma prasībām izslēgšanas gadījumu pārbaudīti Publisko iepirkumu likuma 9.panta devītās daļas noteiktajā kārtībā. EIS sistēmā </w:t>
      </w:r>
      <w:hyperlink r:id="rId8" w:history="1">
        <w:r w:rsidRPr="004D4EB6">
          <w:rPr>
            <w:rStyle w:val="Hyperlink"/>
          </w:rPr>
          <w:t>https://www.eis.gov.lv/</w:t>
        </w:r>
      </w:hyperlink>
      <w:r w:rsidRPr="004D4EB6">
        <w:t xml:space="preserve"> tiek pieprasīta e-izziņa. Saskaņā ar e-izziņā sniegto informāciju, uz pretendentu – Sabiedrību ar ierobežotu atbildību “OZOLMĀJAS” – izslēgšanas nosacījumi nav attiecināmi.</w:t>
      </w:r>
    </w:p>
    <w:p w:rsidR="00D74EB6" w:rsidRPr="004D4EB6" w:rsidRDefault="00D74EB6" w:rsidP="00D74EB6">
      <w:pPr>
        <w:pStyle w:val="NormalWeb"/>
        <w:spacing w:before="0"/>
        <w:ind w:left="720" w:right="71"/>
        <w:jc w:val="both"/>
      </w:pPr>
    </w:p>
    <w:p w:rsidR="00D74EB6" w:rsidRPr="004D4EB6" w:rsidRDefault="00D74EB6" w:rsidP="00D74EB6">
      <w:pPr>
        <w:pStyle w:val="NormalWeb"/>
        <w:numPr>
          <w:ilvl w:val="0"/>
          <w:numId w:val="4"/>
        </w:numPr>
        <w:spacing w:before="0"/>
        <w:ind w:right="71"/>
        <w:jc w:val="both"/>
      </w:pPr>
      <w:r w:rsidRPr="004D4EB6">
        <w:t>Komisija pieņem lēmumu par iepirkuma uzvarētāju:</w:t>
      </w:r>
    </w:p>
    <w:p w:rsidR="00D74EB6" w:rsidRPr="004D4EB6" w:rsidRDefault="00D74EB6" w:rsidP="00D74EB6">
      <w:pPr>
        <w:pStyle w:val="NormalWeb"/>
        <w:spacing w:before="0"/>
        <w:ind w:left="720" w:right="71"/>
        <w:jc w:val="both"/>
        <w:rPr>
          <w:b/>
          <w:bCs/>
        </w:rPr>
      </w:pPr>
      <w:r w:rsidRPr="004D4EB6">
        <w:t xml:space="preserve">Pamatojoties uz Nolikuma 11.8.punktu, kas nosaka, ka Komisija, no visiem piedāvājumiem, kas atbilst iepirkuma Nolikuma prasībām, izvēlas piedāvājumu ar viszemāko cenu, un </w:t>
      </w:r>
      <w:r w:rsidRPr="004D4EB6">
        <w:rPr>
          <w:iCs/>
        </w:rPr>
        <w:t xml:space="preserve">Publisko iepirkumu likuma </w:t>
      </w:r>
      <w:r w:rsidRPr="004D4EB6">
        <w:t xml:space="preserve">9.panta trīspadsmito daļu, kas nosaka, ka iepirkuma komisija par uzvarētāju iepirkumā atzīst pretendentu, kurš izraudzīts atbilstoši noteiktajām prasībām un kritērijiem un nav izslēdzams no dalības iepirkumā saskaņā ar šā panta piekto daļu, </w:t>
      </w:r>
      <w:r w:rsidRPr="004D4EB6">
        <w:rPr>
          <w:b/>
          <w:bCs/>
        </w:rPr>
        <w:t xml:space="preserve">atklāti balsojot: PAR – 3 </w:t>
      </w:r>
      <w:r w:rsidRPr="004D4EB6">
        <w:t xml:space="preserve">(Tamāra Locāne, Oļegs </w:t>
      </w:r>
      <w:proofErr w:type="spellStart"/>
      <w:r w:rsidRPr="004D4EB6">
        <w:t>Kesks</w:t>
      </w:r>
      <w:proofErr w:type="spellEnd"/>
      <w:r w:rsidRPr="004D4EB6">
        <w:t xml:space="preserve">, Sintija </w:t>
      </w:r>
      <w:proofErr w:type="spellStart"/>
      <w:r w:rsidRPr="004D4EB6">
        <w:t>Strapcāne</w:t>
      </w:r>
      <w:proofErr w:type="spellEnd"/>
      <w:r w:rsidRPr="004D4EB6">
        <w:t xml:space="preserve">), </w:t>
      </w:r>
      <w:r w:rsidRPr="004D4EB6">
        <w:rPr>
          <w:b/>
          <w:bCs/>
        </w:rPr>
        <w:t xml:space="preserve">PRET – </w:t>
      </w:r>
      <w:r w:rsidRPr="004D4EB6">
        <w:t xml:space="preserve">nav, </w:t>
      </w:r>
      <w:r w:rsidRPr="004D4EB6">
        <w:rPr>
          <w:b/>
          <w:bCs/>
        </w:rPr>
        <w:t>NOLEMJ:</w:t>
      </w:r>
    </w:p>
    <w:p w:rsidR="00D74EB6" w:rsidRPr="004D4EB6" w:rsidRDefault="00D74EB6" w:rsidP="00D74EB6">
      <w:pPr>
        <w:pStyle w:val="NormalWeb"/>
        <w:spacing w:before="0"/>
        <w:ind w:left="720" w:right="71"/>
        <w:jc w:val="both"/>
        <w:rPr>
          <w:b/>
          <w:bCs/>
        </w:rPr>
      </w:pPr>
      <w:r w:rsidRPr="004D4EB6">
        <w:rPr>
          <w:b/>
          <w:bCs/>
        </w:rPr>
        <w:lastRenderedPageBreak/>
        <w:t>par iepirkuma uzvarētāju</w:t>
      </w:r>
      <w:r>
        <w:rPr>
          <w:b/>
          <w:bCs/>
        </w:rPr>
        <w:t xml:space="preserve"> </w:t>
      </w:r>
      <w:r w:rsidRPr="004D4EB6">
        <w:rPr>
          <w:b/>
          <w:bCs/>
        </w:rPr>
        <w:t xml:space="preserve">atzīt </w:t>
      </w:r>
      <w:r w:rsidRPr="004D4EB6">
        <w:rPr>
          <w:b/>
        </w:rPr>
        <w:t>Sabiedrību ar ierobežotu atbildību “OZOLMĀJAS”</w:t>
      </w:r>
      <w:r w:rsidRPr="004D4EB6">
        <w:rPr>
          <w:b/>
          <w:bCs/>
        </w:rPr>
        <w:t>, Reģ.Nr.</w:t>
      </w:r>
      <w:r w:rsidRPr="004D4EB6">
        <w:rPr>
          <w:b/>
        </w:rPr>
        <w:t xml:space="preserve">Reģ.Nr.43201016545, </w:t>
      </w:r>
      <w:r w:rsidRPr="004D4EB6">
        <w:rPr>
          <w:b/>
          <w:bCs/>
        </w:rPr>
        <w:t xml:space="preserve">ar tās piedāvāto līgumcenu EUR </w:t>
      </w:r>
      <w:r w:rsidRPr="004D4EB6">
        <w:rPr>
          <w:b/>
        </w:rPr>
        <w:t>16 878.58</w:t>
      </w:r>
      <w:r w:rsidRPr="004D4EB6">
        <w:rPr>
          <w:b/>
          <w:bCs/>
        </w:rPr>
        <w:t xml:space="preserve"> (bez PVN).</w:t>
      </w:r>
    </w:p>
    <w:p w:rsidR="00D74EB6" w:rsidRPr="004D4EB6" w:rsidRDefault="00D74EB6" w:rsidP="00D74EB6">
      <w:pPr>
        <w:pStyle w:val="NormalWeb"/>
        <w:spacing w:before="0"/>
        <w:ind w:left="1080" w:right="71"/>
        <w:jc w:val="both"/>
        <w:rPr>
          <w:bCs/>
        </w:rPr>
      </w:pPr>
    </w:p>
    <w:p w:rsidR="00D74EB6" w:rsidRPr="004D4EB6" w:rsidRDefault="00D74EB6" w:rsidP="00D74EB6">
      <w:pPr>
        <w:pStyle w:val="NormalWeb"/>
        <w:spacing w:before="0"/>
        <w:ind w:right="71"/>
        <w:jc w:val="both"/>
      </w:pPr>
      <w:r w:rsidRPr="004D4EB6">
        <w:t xml:space="preserve">Saskaņā ar Publisko iepirkumu likuma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9" w:tgtFrame="_blank" w:history="1">
        <w:r w:rsidRPr="004D4EB6">
          <w:t>Administratīvā procesa likumā</w:t>
        </w:r>
      </w:hyperlink>
      <w:r w:rsidRPr="004D4EB6">
        <w:t xml:space="preserve"> noteiktajā kārtībā. Administratīvās rajona tiesas spriedumu var pārsūdzēt kasācijas kārtībā Augstākās tiesas Senāta Administratīvo lietu departamentā. Lēmuma pārsūdzēšana neaptur tā darbību.</w:t>
      </w:r>
    </w:p>
    <w:p w:rsidR="00D74EB6" w:rsidRPr="004D4EB6" w:rsidRDefault="00D74EB6" w:rsidP="00D74EB6">
      <w:pPr>
        <w:pStyle w:val="NormalWeb"/>
        <w:spacing w:before="0"/>
        <w:ind w:right="71"/>
        <w:jc w:val="both"/>
      </w:pPr>
    </w:p>
    <w:p w:rsidR="00D74EB6" w:rsidRPr="004D4EB6" w:rsidRDefault="00D74EB6" w:rsidP="00D74EB6">
      <w:pPr>
        <w:pStyle w:val="NormalWeb"/>
        <w:spacing w:before="0"/>
        <w:ind w:right="71"/>
        <w:jc w:val="both"/>
      </w:pPr>
      <w:r w:rsidRPr="004D4EB6">
        <w:t>Saskaņā ar Administratīvā procesa likuma 70.panta pirmo daļu, 76.panta otro daļu un 79.panta pirmo daļu, lēmums stājas spēkā ar brīdi, kad tas paziņots adresātam un to var pārsūdzēt Administratīvajā rajona tiesā viena mēneša laikā, no tā spēkā stāšanās dienas.</w:t>
      </w:r>
    </w:p>
    <w:p w:rsidR="00D74EB6" w:rsidRPr="004D4EB6" w:rsidRDefault="00D74EB6" w:rsidP="00D74EB6">
      <w:pPr>
        <w:pStyle w:val="NormalWeb"/>
        <w:spacing w:before="0"/>
        <w:ind w:right="71"/>
        <w:jc w:val="both"/>
        <w:rPr>
          <w:bCs/>
          <w:iCs/>
        </w:rPr>
      </w:pPr>
    </w:p>
    <w:p w:rsidR="00D74EB6" w:rsidRPr="004D4EB6" w:rsidRDefault="00D74EB6" w:rsidP="00D74EB6">
      <w:pPr>
        <w:pStyle w:val="NormalWeb"/>
        <w:spacing w:before="0"/>
        <w:ind w:right="71"/>
        <w:jc w:val="both"/>
        <w:rPr>
          <w:bCs/>
          <w:iCs/>
        </w:rPr>
      </w:pPr>
      <w:r w:rsidRPr="004D4EB6">
        <w:rPr>
          <w:bCs/>
          <w:iCs/>
        </w:rPr>
        <w:t>Pielikumā:</w:t>
      </w:r>
    </w:p>
    <w:p w:rsidR="00D74EB6" w:rsidRPr="004D4EB6" w:rsidRDefault="00D74EB6" w:rsidP="00D74EB6">
      <w:pPr>
        <w:pStyle w:val="NormalWeb"/>
        <w:numPr>
          <w:ilvl w:val="0"/>
          <w:numId w:val="13"/>
        </w:numPr>
        <w:spacing w:before="0"/>
        <w:ind w:right="71"/>
        <w:jc w:val="both"/>
        <w:rPr>
          <w:bCs/>
          <w:iCs/>
        </w:rPr>
      </w:pPr>
      <w:r w:rsidRPr="004D4EB6">
        <w:rPr>
          <w:bCs/>
          <w:iCs/>
        </w:rPr>
        <w:t>Iesniegto piedāvājumu saraksts;</w:t>
      </w:r>
    </w:p>
    <w:p w:rsidR="00D74EB6" w:rsidRPr="004D4EB6" w:rsidRDefault="00D74EB6" w:rsidP="00D74EB6">
      <w:pPr>
        <w:pStyle w:val="NormalWeb"/>
        <w:numPr>
          <w:ilvl w:val="0"/>
          <w:numId w:val="13"/>
        </w:numPr>
        <w:spacing w:before="0"/>
        <w:ind w:right="71"/>
        <w:jc w:val="both"/>
        <w:rPr>
          <w:bCs/>
          <w:iCs/>
        </w:rPr>
      </w:pPr>
      <w:r w:rsidRPr="004D4EB6">
        <w:rPr>
          <w:bCs/>
          <w:iCs/>
        </w:rPr>
        <w:t>Sanāksmē klātesošo dalībnieku saraksts;</w:t>
      </w:r>
    </w:p>
    <w:p w:rsidR="00D74EB6" w:rsidRPr="004D4EB6" w:rsidRDefault="00D74EB6" w:rsidP="00D74EB6">
      <w:pPr>
        <w:pStyle w:val="NormalWeb"/>
        <w:numPr>
          <w:ilvl w:val="0"/>
          <w:numId w:val="13"/>
        </w:numPr>
        <w:spacing w:before="0"/>
        <w:ind w:right="71"/>
        <w:jc w:val="both"/>
        <w:rPr>
          <w:bCs/>
          <w:iCs/>
        </w:rPr>
      </w:pPr>
      <w:r w:rsidRPr="004D4EB6">
        <w:t>Izdrukas no Uzņēmumu reģistra mājas lapas uz 2 lp.;</w:t>
      </w:r>
    </w:p>
    <w:p w:rsidR="00D74EB6" w:rsidRPr="004D4EB6" w:rsidRDefault="00D74EB6" w:rsidP="00D74EB6">
      <w:pPr>
        <w:pStyle w:val="NormalWeb"/>
        <w:numPr>
          <w:ilvl w:val="0"/>
          <w:numId w:val="13"/>
        </w:numPr>
        <w:spacing w:before="0"/>
        <w:ind w:right="71"/>
        <w:jc w:val="both"/>
        <w:rPr>
          <w:bCs/>
          <w:iCs/>
        </w:rPr>
      </w:pPr>
      <w:r w:rsidRPr="004D4EB6">
        <w:t>Izdrukas no Būvniecības informācijas sistēmas Būvkomersantu reģistra uz 2 lp.;</w:t>
      </w:r>
    </w:p>
    <w:p w:rsidR="00D74EB6" w:rsidRPr="004D4EB6" w:rsidRDefault="00D74EB6" w:rsidP="00D74EB6">
      <w:pPr>
        <w:pStyle w:val="NormalWeb"/>
        <w:numPr>
          <w:ilvl w:val="0"/>
          <w:numId w:val="13"/>
        </w:numPr>
        <w:spacing w:before="0"/>
        <w:ind w:right="71"/>
        <w:jc w:val="both"/>
        <w:rPr>
          <w:bCs/>
          <w:iCs/>
        </w:rPr>
      </w:pPr>
      <w:r w:rsidRPr="004D4EB6">
        <w:t>Izdrukas no Būvprakses un arhitektu prakses sertifikātu reģistra uz 2 lp.;</w:t>
      </w:r>
    </w:p>
    <w:p w:rsidR="00D74EB6" w:rsidRPr="004D4EB6" w:rsidRDefault="00D74EB6" w:rsidP="00D74EB6">
      <w:pPr>
        <w:pStyle w:val="NormalWeb"/>
        <w:numPr>
          <w:ilvl w:val="0"/>
          <w:numId w:val="13"/>
        </w:numPr>
        <w:spacing w:before="0"/>
        <w:ind w:right="71"/>
        <w:jc w:val="both"/>
        <w:rPr>
          <w:bCs/>
          <w:iCs/>
        </w:rPr>
      </w:pPr>
      <w:r w:rsidRPr="004D4EB6">
        <w:rPr>
          <w:bCs/>
          <w:iCs/>
        </w:rPr>
        <w:t>E-izziņas izdrukas no EIS sistēmas</w:t>
      </w:r>
      <w:bookmarkStart w:id="2" w:name="_GoBack"/>
      <w:bookmarkEnd w:id="2"/>
      <w:r w:rsidRPr="004D4EB6">
        <w:rPr>
          <w:bCs/>
          <w:iCs/>
        </w:rPr>
        <w:t>;</w:t>
      </w:r>
    </w:p>
    <w:p w:rsidR="00D74EB6" w:rsidRPr="004D4EB6" w:rsidRDefault="00D74EB6" w:rsidP="00D74EB6">
      <w:pPr>
        <w:pStyle w:val="NormalWeb"/>
        <w:numPr>
          <w:ilvl w:val="0"/>
          <w:numId w:val="13"/>
        </w:numPr>
        <w:spacing w:before="0"/>
        <w:ind w:right="71"/>
        <w:jc w:val="both"/>
        <w:rPr>
          <w:bCs/>
          <w:iCs/>
        </w:rPr>
      </w:pPr>
      <w:r w:rsidRPr="004D4EB6">
        <w:t>Komisijas vēstule pretendentam uz 2 lp.;</w:t>
      </w:r>
    </w:p>
    <w:p w:rsidR="00D74EB6" w:rsidRPr="004D4EB6" w:rsidRDefault="00D74EB6" w:rsidP="00D74EB6">
      <w:pPr>
        <w:pStyle w:val="NormalWeb"/>
        <w:numPr>
          <w:ilvl w:val="0"/>
          <w:numId w:val="13"/>
        </w:numPr>
        <w:spacing w:before="0"/>
        <w:ind w:right="71"/>
        <w:jc w:val="both"/>
        <w:rPr>
          <w:bCs/>
          <w:iCs/>
        </w:rPr>
      </w:pPr>
      <w:r w:rsidRPr="004D4EB6">
        <w:rPr>
          <w:bCs/>
          <w:iCs/>
        </w:rPr>
        <w:t>E-izziņas izdruka no EIS sistēmas</w:t>
      </w:r>
    </w:p>
    <w:p w:rsidR="00D74EB6" w:rsidRPr="004D4EB6" w:rsidRDefault="00D74EB6" w:rsidP="00D74EB6">
      <w:pPr>
        <w:pStyle w:val="NormalWeb"/>
        <w:spacing w:before="0"/>
        <w:ind w:right="71"/>
        <w:jc w:val="both"/>
        <w:rPr>
          <w:bCs/>
          <w:iCs/>
        </w:rPr>
      </w:pPr>
    </w:p>
    <w:p w:rsidR="00D74EB6" w:rsidRPr="004D4EB6" w:rsidRDefault="00D74EB6" w:rsidP="00D74EB6">
      <w:pPr>
        <w:pStyle w:val="NormalWeb"/>
        <w:spacing w:before="0"/>
        <w:ind w:left="1080" w:right="71"/>
        <w:jc w:val="both"/>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6"/>
        <w:gridCol w:w="2471"/>
        <w:gridCol w:w="244"/>
        <w:gridCol w:w="2127"/>
      </w:tblGrid>
      <w:tr w:rsidR="00D74EB6" w:rsidRPr="004D4EB6" w:rsidTr="00447367">
        <w:tc>
          <w:tcPr>
            <w:tcW w:w="3686" w:type="dxa"/>
            <w:tcBorders>
              <w:top w:val="nil"/>
              <w:left w:val="nil"/>
              <w:bottom w:val="nil"/>
              <w:right w:val="nil"/>
            </w:tcBorders>
            <w:hideMark/>
          </w:tcPr>
          <w:p w:rsidR="00D74EB6" w:rsidRPr="004D4EB6" w:rsidRDefault="00D74EB6" w:rsidP="00447367">
            <w:pPr>
              <w:spacing w:line="252" w:lineRule="auto"/>
            </w:pPr>
            <w:r w:rsidRPr="004D4EB6">
              <w:t>Komisijas priekšsēdētāja</w:t>
            </w:r>
          </w:p>
        </w:tc>
        <w:tc>
          <w:tcPr>
            <w:tcW w:w="2471" w:type="dxa"/>
            <w:tcBorders>
              <w:top w:val="nil"/>
              <w:left w:val="nil"/>
              <w:bottom w:val="single" w:sz="4" w:space="0" w:color="auto"/>
              <w:right w:val="nil"/>
            </w:tcBorders>
            <w:hideMark/>
          </w:tcPr>
          <w:p w:rsidR="00D74EB6" w:rsidRPr="004D4EB6" w:rsidRDefault="00D74EB6" w:rsidP="00447367">
            <w:pPr>
              <w:spacing w:line="252" w:lineRule="auto"/>
            </w:pPr>
            <w:r w:rsidRPr="004D4EB6">
              <w:t>Tamāra Locāne</w:t>
            </w:r>
          </w:p>
        </w:tc>
        <w:tc>
          <w:tcPr>
            <w:tcW w:w="244" w:type="dxa"/>
            <w:tcBorders>
              <w:top w:val="nil"/>
              <w:left w:val="nil"/>
              <w:bottom w:val="nil"/>
              <w:right w:val="nil"/>
            </w:tcBorders>
          </w:tcPr>
          <w:p w:rsidR="00D74EB6" w:rsidRPr="004D4EB6" w:rsidRDefault="00D74EB6" w:rsidP="00447367">
            <w:pPr>
              <w:spacing w:line="252" w:lineRule="auto"/>
            </w:pPr>
          </w:p>
        </w:tc>
        <w:tc>
          <w:tcPr>
            <w:tcW w:w="2127" w:type="dxa"/>
            <w:tcBorders>
              <w:top w:val="nil"/>
              <w:left w:val="nil"/>
              <w:bottom w:val="single" w:sz="4" w:space="0" w:color="auto"/>
              <w:right w:val="nil"/>
            </w:tcBorders>
          </w:tcPr>
          <w:p w:rsidR="00D74EB6" w:rsidRPr="004D4EB6" w:rsidRDefault="00D74EB6" w:rsidP="00447367">
            <w:pPr>
              <w:spacing w:line="252" w:lineRule="auto"/>
            </w:pPr>
          </w:p>
        </w:tc>
      </w:tr>
      <w:tr w:rsidR="00D74EB6" w:rsidRPr="004D4EB6" w:rsidTr="00447367">
        <w:trPr>
          <w:trHeight w:val="163"/>
        </w:trPr>
        <w:tc>
          <w:tcPr>
            <w:tcW w:w="3686" w:type="dxa"/>
            <w:tcBorders>
              <w:top w:val="nil"/>
              <w:left w:val="nil"/>
              <w:bottom w:val="nil"/>
              <w:right w:val="nil"/>
            </w:tcBorders>
          </w:tcPr>
          <w:p w:rsidR="00D74EB6" w:rsidRPr="004D4EB6" w:rsidRDefault="00D74EB6" w:rsidP="00447367">
            <w:pPr>
              <w:spacing w:line="252" w:lineRule="auto"/>
              <w:jc w:val="center"/>
            </w:pPr>
          </w:p>
        </w:tc>
        <w:tc>
          <w:tcPr>
            <w:tcW w:w="2471"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(vārds, uzvārds)</w:t>
            </w:r>
          </w:p>
        </w:tc>
        <w:tc>
          <w:tcPr>
            <w:tcW w:w="244" w:type="dxa"/>
            <w:tcBorders>
              <w:top w:val="nil"/>
              <w:left w:val="nil"/>
              <w:bottom w:val="nil"/>
              <w:right w:val="nil"/>
            </w:tcBorders>
          </w:tcPr>
          <w:p w:rsidR="00D74EB6" w:rsidRPr="00525D71" w:rsidRDefault="00D74EB6" w:rsidP="00447367">
            <w:pPr>
              <w:spacing w:line="252" w:lineRule="auto"/>
              <w:jc w:val="center"/>
              <w:rPr>
                <w:sz w:val="20"/>
                <w:szCs w:val="20"/>
              </w:rPr>
            </w:pPr>
          </w:p>
        </w:tc>
        <w:tc>
          <w:tcPr>
            <w:tcW w:w="2127"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(paraksts)</w:t>
            </w:r>
          </w:p>
        </w:tc>
      </w:tr>
      <w:tr w:rsidR="00D74EB6" w:rsidRPr="004D4EB6" w:rsidTr="00447367">
        <w:tc>
          <w:tcPr>
            <w:tcW w:w="3686" w:type="dxa"/>
            <w:tcBorders>
              <w:top w:val="nil"/>
              <w:left w:val="nil"/>
              <w:bottom w:val="nil"/>
              <w:right w:val="nil"/>
            </w:tcBorders>
            <w:hideMark/>
          </w:tcPr>
          <w:p w:rsidR="00D74EB6" w:rsidRPr="004D4EB6" w:rsidRDefault="00D74EB6" w:rsidP="00447367">
            <w:pPr>
              <w:spacing w:line="252" w:lineRule="auto"/>
            </w:pPr>
            <w:r w:rsidRPr="004D4EB6">
              <w:t>Komisijas priekšsēdētājas vietniece</w:t>
            </w:r>
          </w:p>
        </w:tc>
        <w:tc>
          <w:tcPr>
            <w:tcW w:w="2471" w:type="dxa"/>
            <w:tcBorders>
              <w:top w:val="nil"/>
              <w:left w:val="nil"/>
              <w:bottom w:val="nil"/>
              <w:right w:val="nil"/>
            </w:tcBorders>
            <w:hideMark/>
          </w:tcPr>
          <w:p w:rsidR="00D74EB6" w:rsidRPr="004D4EB6" w:rsidRDefault="00D74EB6" w:rsidP="00447367">
            <w:pPr>
              <w:spacing w:line="252" w:lineRule="auto"/>
            </w:pPr>
            <w:r w:rsidRPr="004D4EB6">
              <w:t xml:space="preserve">Sintija </w:t>
            </w:r>
            <w:proofErr w:type="spellStart"/>
            <w:r w:rsidRPr="004D4EB6">
              <w:t>Srapcāne</w:t>
            </w:r>
            <w:proofErr w:type="spellEnd"/>
          </w:p>
        </w:tc>
        <w:tc>
          <w:tcPr>
            <w:tcW w:w="244" w:type="dxa"/>
            <w:tcBorders>
              <w:top w:val="nil"/>
              <w:left w:val="nil"/>
              <w:bottom w:val="nil"/>
              <w:right w:val="nil"/>
            </w:tcBorders>
          </w:tcPr>
          <w:p w:rsidR="00D74EB6" w:rsidRPr="004D4EB6" w:rsidRDefault="00D74EB6" w:rsidP="00447367">
            <w:pPr>
              <w:spacing w:line="252" w:lineRule="auto"/>
              <w:jc w:val="center"/>
            </w:pPr>
          </w:p>
        </w:tc>
        <w:tc>
          <w:tcPr>
            <w:tcW w:w="2127" w:type="dxa"/>
            <w:tcBorders>
              <w:top w:val="nil"/>
              <w:left w:val="nil"/>
              <w:bottom w:val="nil"/>
              <w:right w:val="nil"/>
            </w:tcBorders>
          </w:tcPr>
          <w:p w:rsidR="00D74EB6" w:rsidRPr="004D4EB6" w:rsidRDefault="00D74EB6" w:rsidP="00447367">
            <w:pPr>
              <w:spacing w:line="252" w:lineRule="auto"/>
              <w:jc w:val="center"/>
            </w:pPr>
          </w:p>
        </w:tc>
      </w:tr>
      <w:tr w:rsidR="00D74EB6" w:rsidRPr="004D4EB6" w:rsidTr="00447367">
        <w:tc>
          <w:tcPr>
            <w:tcW w:w="3686" w:type="dxa"/>
            <w:tcBorders>
              <w:top w:val="nil"/>
              <w:left w:val="nil"/>
              <w:bottom w:val="nil"/>
              <w:right w:val="nil"/>
            </w:tcBorders>
          </w:tcPr>
          <w:p w:rsidR="00D74EB6" w:rsidRPr="004D4EB6" w:rsidRDefault="00D74EB6" w:rsidP="00447367">
            <w:pPr>
              <w:spacing w:line="252" w:lineRule="auto"/>
              <w:jc w:val="center"/>
            </w:pPr>
          </w:p>
        </w:tc>
        <w:tc>
          <w:tcPr>
            <w:tcW w:w="2471"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(vārds, uzvārds)</w:t>
            </w:r>
          </w:p>
        </w:tc>
        <w:tc>
          <w:tcPr>
            <w:tcW w:w="244" w:type="dxa"/>
            <w:tcBorders>
              <w:top w:val="nil"/>
              <w:left w:val="nil"/>
              <w:bottom w:val="nil"/>
              <w:right w:val="nil"/>
            </w:tcBorders>
          </w:tcPr>
          <w:p w:rsidR="00D74EB6" w:rsidRPr="00525D71" w:rsidRDefault="00D74EB6" w:rsidP="00447367">
            <w:pPr>
              <w:spacing w:line="252" w:lineRule="auto"/>
              <w:jc w:val="center"/>
              <w:rPr>
                <w:sz w:val="20"/>
                <w:szCs w:val="20"/>
              </w:rPr>
            </w:pPr>
          </w:p>
        </w:tc>
        <w:tc>
          <w:tcPr>
            <w:tcW w:w="2127"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(paraksts)</w:t>
            </w:r>
          </w:p>
        </w:tc>
      </w:tr>
      <w:tr w:rsidR="00D74EB6" w:rsidRPr="004D4EB6" w:rsidTr="00447367">
        <w:tc>
          <w:tcPr>
            <w:tcW w:w="3686" w:type="dxa"/>
            <w:tcBorders>
              <w:top w:val="nil"/>
              <w:left w:val="nil"/>
              <w:bottom w:val="nil"/>
              <w:right w:val="nil"/>
            </w:tcBorders>
          </w:tcPr>
          <w:p w:rsidR="00D74EB6" w:rsidRPr="004D4EB6" w:rsidRDefault="00D74EB6" w:rsidP="00447367">
            <w:pPr>
              <w:spacing w:line="252" w:lineRule="auto"/>
            </w:pPr>
            <w:r w:rsidRPr="004D4EB6">
              <w:t>Komisijas loceklis</w:t>
            </w:r>
          </w:p>
        </w:tc>
        <w:tc>
          <w:tcPr>
            <w:tcW w:w="2471" w:type="dxa"/>
            <w:tcBorders>
              <w:top w:val="nil"/>
              <w:left w:val="nil"/>
              <w:bottom w:val="single" w:sz="4" w:space="0" w:color="auto"/>
              <w:right w:val="nil"/>
            </w:tcBorders>
            <w:hideMark/>
          </w:tcPr>
          <w:p w:rsidR="00D74EB6" w:rsidRPr="004D4EB6" w:rsidRDefault="00D74EB6" w:rsidP="00447367">
            <w:pPr>
              <w:spacing w:line="252" w:lineRule="auto"/>
            </w:pPr>
            <w:r w:rsidRPr="004D4EB6">
              <w:t xml:space="preserve">Oļegs </w:t>
            </w:r>
            <w:proofErr w:type="spellStart"/>
            <w:r w:rsidRPr="004D4EB6">
              <w:t>Kesks</w:t>
            </w:r>
            <w:proofErr w:type="spellEnd"/>
          </w:p>
        </w:tc>
        <w:tc>
          <w:tcPr>
            <w:tcW w:w="244" w:type="dxa"/>
            <w:tcBorders>
              <w:top w:val="nil"/>
              <w:left w:val="nil"/>
              <w:bottom w:val="nil"/>
              <w:right w:val="nil"/>
            </w:tcBorders>
          </w:tcPr>
          <w:p w:rsidR="00D74EB6" w:rsidRPr="004D4EB6" w:rsidRDefault="00D74EB6" w:rsidP="00447367">
            <w:pPr>
              <w:spacing w:line="252" w:lineRule="auto"/>
            </w:pPr>
          </w:p>
        </w:tc>
        <w:tc>
          <w:tcPr>
            <w:tcW w:w="2127" w:type="dxa"/>
            <w:tcBorders>
              <w:top w:val="nil"/>
              <w:left w:val="nil"/>
              <w:bottom w:val="single" w:sz="4" w:space="0" w:color="auto"/>
              <w:right w:val="nil"/>
            </w:tcBorders>
          </w:tcPr>
          <w:p w:rsidR="00D74EB6" w:rsidRPr="004D4EB6" w:rsidRDefault="00D74EB6" w:rsidP="00447367">
            <w:pPr>
              <w:spacing w:line="252" w:lineRule="auto"/>
            </w:pPr>
          </w:p>
        </w:tc>
      </w:tr>
      <w:tr w:rsidR="00D74EB6" w:rsidRPr="004D4EB6" w:rsidTr="00447367">
        <w:tc>
          <w:tcPr>
            <w:tcW w:w="3686" w:type="dxa"/>
            <w:tcBorders>
              <w:top w:val="nil"/>
              <w:left w:val="nil"/>
              <w:bottom w:val="nil"/>
              <w:right w:val="nil"/>
            </w:tcBorders>
          </w:tcPr>
          <w:p w:rsidR="00D74EB6" w:rsidRPr="004D4EB6" w:rsidRDefault="00D74EB6" w:rsidP="00447367">
            <w:pPr>
              <w:spacing w:line="252" w:lineRule="auto"/>
            </w:pPr>
          </w:p>
        </w:tc>
        <w:tc>
          <w:tcPr>
            <w:tcW w:w="2471"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(vārds, uzvārds)</w:t>
            </w:r>
          </w:p>
        </w:tc>
        <w:tc>
          <w:tcPr>
            <w:tcW w:w="244" w:type="dxa"/>
            <w:tcBorders>
              <w:top w:val="nil"/>
              <w:left w:val="nil"/>
              <w:bottom w:val="nil"/>
              <w:right w:val="nil"/>
            </w:tcBorders>
          </w:tcPr>
          <w:p w:rsidR="00D74EB6" w:rsidRPr="00525D71" w:rsidRDefault="00D74EB6" w:rsidP="00447367">
            <w:pPr>
              <w:spacing w:line="252" w:lineRule="auto"/>
              <w:rPr>
                <w:sz w:val="20"/>
                <w:szCs w:val="20"/>
              </w:rPr>
            </w:pPr>
          </w:p>
        </w:tc>
        <w:tc>
          <w:tcPr>
            <w:tcW w:w="2127"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(paraksts)</w:t>
            </w:r>
          </w:p>
        </w:tc>
      </w:tr>
      <w:tr w:rsidR="00D74EB6" w:rsidRPr="004D4EB6" w:rsidTr="00447367">
        <w:tc>
          <w:tcPr>
            <w:tcW w:w="3686" w:type="dxa"/>
            <w:tcBorders>
              <w:top w:val="nil"/>
              <w:left w:val="nil"/>
              <w:bottom w:val="nil"/>
              <w:right w:val="nil"/>
            </w:tcBorders>
            <w:hideMark/>
          </w:tcPr>
          <w:p w:rsidR="00D74EB6" w:rsidRPr="004D4EB6" w:rsidRDefault="00D74EB6" w:rsidP="00447367">
            <w:pPr>
              <w:spacing w:line="252" w:lineRule="auto"/>
            </w:pPr>
            <w:r w:rsidRPr="004D4EB6">
              <w:t>Sekretāre</w:t>
            </w:r>
          </w:p>
        </w:tc>
        <w:tc>
          <w:tcPr>
            <w:tcW w:w="2471" w:type="dxa"/>
            <w:tcBorders>
              <w:top w:val="nil"/>
              <w:left w:val="nil"/>
              <w:bottom w:val="single" w:sz="4" w:space="0" w:color="auto"/>
              <w:right w:val="nil"/>
            </w:tcBorders>
            <w:hideMark/>
          </w:tcPr>
          <w:p w:rsidR="00D74EB6" w:rsidRPr="004D4EB6" w:rsidRDefault="00D74EB6" w:rsidP="00447367">
            <w:pPr>
              <w:spacing w:line="252" w:lineRule="auto"/>
            </w:pPr>
            <w:r w:rsidRPr="004D4EB6">
              <w:t>Dace Dzērve</w:t>
            </w:r>
          </w:p>
        </w:tc>
        <w:tc>
          <w:tcPr>
            <w:tcW w:w="244" w:type="dxa"/>
            <w:tcBorders>
              <w:top w:val="nil"/>
              <w:left w:val="nil"/>
              <w:bottom w:val="nil"/>
              <w:right w:val="nil"/>
            </w:tcBorders>
          </w:tcPr>
          <w:p w:rsidR="00D74EB6" w:rsidRPr="004D4EB6" w:rsidRDefault="00D74EB6" w:rsidP="00447367">
            <w:pPr>
              <w:spacing w:line="252" w:lineRule="auto"/>
            </w:pPr>
          </w:p>
        </w:tc>
        <w:tc>
          <w:tcPr>
            <w:tcW w:w="2127" w:type="dxa"/>
            <w:tcBorders>
              <w:top w:val="nil"/>
              <w:left w:val="nil"/>
              <w:bottom w:val="single" w:sz="4" w:space="0" w:color="auto"/>
              <w:right w:val="nil"/>
            </w:tcBorders>
          </w:tcPr>
          <w:p w:rsidR="00D74EB6" w:rsidRPr="004D4EB6" w:rsidRDefault="00D74EB6" w:rsidP="00447367">
            <w:pPr>
              <w:spacing w:line="252" w:lineRule="auto"/>
            </w:pPr>
          </w:p>
        </w:tc>
      </w:tr>
      <w:tr w:rsidR="00D74EB6" w:rsidRPr="004D4EB6" w:rsidTr="00447367">
        <w:tc>
          <w:tcPr>
            <w:tcW w:w="3686" w:type="dxa"/>
            <w:tcBorders>
              <w:top w:val="nil"/>
              <w:left w:val="nil"/>
              <w:bottom w:val="nil"/>
              <w:right w:val="nil"/>
            </w:tcBorders>
          </w:tcPr>
          <w:p w:rsidR="00D74EB6" w:rsidRPr="004D4EB6" w:rsidRDefault="00D74EB6" w:rsidP="00447367">
            <w:pPr>
              <w:spacing w:line="252" w:lineRule="auto"/>
            </w:pPr>
          </w:p>
        </w:tc>
        <w:tc>
          <w:tcPr>
            <w:tcW w:w="2471"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(vārds, uzvārds)</w:t>
            </w:r>
          </w:p>
        </w:tc>
        <w:tc>
          <w:tcPr>
            <w:tcW w:w="244" w:type="dxa"/>
            <w:tcBorders>
              <w:top w:val="nil"/>
              <w:left w:val="nil"/>
              <w:bottom w:val="nil"/>
              <w:right w:val="nil"/>
            </w:tcBorders>
          </w:tcPr>
          <w:p w:rsidR="00D74EB6" w:rsidRPr="00525D71" w:rsidRDefault="00D74EB6" w:rsidP="00447367">
            <w:pPr>
              <w:spacing w:line="252" w:lineRule="auto"/>
              <w:jc w:val="center"/>
              <w:rPr>
                <w:sz w:val="20"/>
                <w:szCs w:val="20"/>
              </w:rPr>
            </w:pPr>
          </w:p>
        </w:tc>
        <w:tc>
          <w:tcPr>
            <w:tcW w:w="2127" w:type="dxa"/>
            <w:tcBorders>
              <w:top w:val="single" w:sz="4" w:space="0" w:color="auto"/>
              <w:left w:val="nil"/>
              <w:bottom w:val="nil"/>
              <w:right w:val="nil"/>
            </w:tcBorders>
            <w:hideMark/>
          </w:tcPr>
          <w:p w:rsidR="00D74EB6" w:rsidRPr="00525D71" w:rsidRDefault="00D74EB6" w:rsidP="00447367">
            <w:pPr>
              <w:spacing w:line="252" w:lineRule="auto"/>
              <w:jc w:val="center"/>
              <w:rPr>
                <w:sz w:val="20"/>
                <w:szCs w:val="20"/>
              </w:rPr>
            </w:pPr>
            <w:r w:rsidRPr="00525D71">
              <w:rPr>
                <w:sz w:val="20"/>
                <w:szCs w:val="20"/>
              </w:rPr>
              <w:t>(paraksts)</w:t>
            </w:r>
          </w:p>
        </w:tc>
      </w:tr>
    </w:tbl>
    <w:p w:rsidR="00D74EB6" w:rsidRPr="004D4EB6" w:rsidRDefault="00D74EB6" w:rsidP="00D74EB6">
      <w:pPr>
        <w:pStyle w:val="NormalWeb"/>
        <w:spacing w:before="0"/>
        <w:ind w:right="71"/>
        <w:jc w:val="both"/>
        <w:rPr>
          <w:bCs/>
          <w:iCs/>
        </w:rPr>
      </w:pPr>
    </w:p>
    <w:p w:rsidR="00616897" w:rsidRDefault="00616897" w:rsidP="00616897">
      <w:pPr>
        <w:jc w:val="center"/>
        <w:rPr>
          <w:b/>
          <w:bCs/>
          <w:sz w:val="22"/>
          <w:szCs w:val="22"/>
        </w:rPr>
      </w:pPr>
    </w:p>
    <w:sectPr w:rsidR="00616897" w:rsidSect="00DD0C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b w:val="0"/>
        <w:bCs w:val="0"/>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5940"/>
        </w:tabs>
        <w:ind w:left="5940" w:hanging="1080"/>
      </w:pPr>
    </w:lvl>
    <w:lvl w:ilvl="6">
      <w:start w:val="1"/>
      <w:numFmt w:val="decimal"/>
      <w:isLgl/>
      <w:lvlText w:val="%1.%2.%3.%4.%5.%6.%7."/>
      <w:lvlJc w:val="left"/>
      <w:pPr>
        <w:tabs>
          <w:tab w:val="num" w:pos="7200"/>
        </w:tabs>
        <w:ind w:left="7200" w:hanging="1440"/>
      </w:pPr>
    </w:lvl>
    <w:lvl w:ilvl="7">
      <w:start w:val="1"/>
      <w:numFmt w:val="decimal"/>
      <w:isLgl/>
      <w:lvlText w:val="%1.%2.%3.%4.%5.%6.%7.%8."/>
      <w:lvlJc w:val="left"/>
      <w:pPr>
        <w:tabs>
          <w:tab w:val="num" w:pos="8100"/>
        </w:tabs>
        <w:ind w:left="8100" w:hanging="1440"/>
      </w:pPr>
    </w:lvl>
    <w:lvl w:ilvl="8">
      <w:start w:val="1"/>
      <w:numFmt w:val="decimal"/>
      <w:isLgl/>
      <w:lvlText w:val="%1.%2.%3.%4.%5.%6.%7.%8.%9."/>
      <w:lvlJc w:val="left"/>
      <w:pPr>
        <w:tabs>
          <w:tab w:val="num" w:pos="9360"/>
        </w:tabs>
        <w:ind w:left="9360" w:hanging="1800"/>
      </w:pPr>
    </w:lvl>
  </w:abstractNum>
  <w:abstractNum w:abstractNumId="1"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9815DC7"/>
    <w:multiLevelType w:val="hybridMultilevel"/>
    <w:tmpl w:val="63204C44"/>
    <w:lvl w:ilvl="0" w:tplc="0B0E5A86">
      <w:start w:val="950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54E778D"/>
    <w:multiLevelType w:val="hybridMultilevel"/>
    <w:tmpl w:val="B9E4E45A"/>
    <w:lvl w:ilvl="0" w:tplc="D9006E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58212EC"/>
    <w:multiLevelType w:val="hybridMultilevel"/>
    <w:tmpl w:val="13B0907E"/>
    <w:lvl w:ilvl="0" w:tplc="A56E0E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A41CA3"/>
    <w:multiLevelType w:val="hybridMultilevel"/>
    <w:tmpl w:val="8996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B5A10"/>
    <w:multiLevelType w:val="hybridMultilevel"/>
    <w:tmpl w:val="9DCAF72A"/>
    <w:lvl w:ilvl="0" w:tplc="14AC8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E0C6661"/>
    <w:multiLevelType w:val="hybridMultilevel"/>
    <w:tmpl w:val="74100046"/>
    <w:lvl w:ilvl="0" w:tplc="CB227F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11"/>
  </w:num>
  <w:num w:numId="8">
    <w:abstractNumId w:val="2"/>
  </w:num>
  <w:num w:numId="9">
    <w:abstractNumId w:val="10"/>
  </w:num>
  <w:num w:numId="10">
    <w:abstractNumId w:val="7"/>
  </w:num>
  <w:num w:numId="11">
    <w:abstractNumId w:val="4"/>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47A93"/>
    <w:rsid w:val="000524AB"/>
    <w:rsid w:val="000578B4"/>
    <w:rsid w:val="00107001"/>
    <w:rsid w:val="00140E40"/>
    <w:rsid w:val="00147A56"/>
    <w:rsid w:val="00170AF4"/>
    <w:rsid w:val="00177C98"/>
    <w:rsid w:val="001E05C6"/>
    <w:rsid w:val="00216A19"/>
    <w:rsid w:val="00243102"/>
    <w:rsid w:val="00245F07"/>
    <w:rsid w:val="00282A4B"/>
    <w:rsid w:val="0031180C"/>
    <w:rsid w:val="003422DD"/>
    <w:rsid w:val="003950BD"/>
    <w:rsid w:val="003973DA"/>
    <w:rsid w:val="003D0973"/>
    <w:rsid w:val="00427D33"/>
    <w:rsid w:val="00461E52"/>
    <w:rsid w:val="00524587"/>
    <w:rsid w:val="00527B39"/>
    <w:rsid w:val="005547D8"/>
    <w:rsid w:val="005C7F1F"/>
    <w:rsid w:val="00616897"/>
    <w:rsid w:val="006A6A57"/>
    <w:rsid w:val="00786D43"/>
    <w:rsid w:val="00795A64"/>
    <w:rsid w:val="007D18BD"/>
    <w:rsid w:val="007F102A"/>
    <w:rsid w:val="007F4078"/>
    <w:rsid w:val="008933BB"/>
    <w:rsid w:val="00926620"/>
    <w:rsid w:val="00A55F42"/>
    <w:rsid w:val="00AB4402"/>
    <w:rsid w:val="00AF60FF"/>
    <w:rsid w:val="00B13198"/>
    <w:rsid w:val="00B65519"/>
    <w:rsid w:val="00B95EEE"/>
    <w:rsid w:val="00C06E67"/>
    <w:rsid w:val="00C45A8B"/>
    <w:rsid w:val="00C7415E"/>
    <w:rsid w:val="00C74490"/>
    <w:rsid w:val="00C82327"/>
    <w:rsid w:val="00CA5913"/>
    <w:rsid w:val="00CD7FAA"/>
    <w:rsid w:val="00CE43F9"/>
    <w:rsid w:val="00D04703"/>
    <w:rsid w:val="00D3082D"/>
    <w:rsid w:val="00D664E7"/>
    <w:rsid w:val="00D74EB6"/>
    <w:rsid w:val="00DB27AA"/>
    <w:rsid w:val="00DB4203"/>
    <w:rsid w:val="00DD0C5A"/>
    <w:rsid w:val="00E879D0"/>
    <w:rsid w:val="00EE0864"/>
    <w:rsid w:val="00F17420"/>
    <w:rsid w:val="00F47683"/>
    <w:rsid w:val="00F67A92"/>
    <w:rsid w:val="00FC2B12"/>
    <w:rsid w:val="00FD3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734C0F"/>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basedOn w:val="DefaultParagraphFont"/>
    <w:unhideWhenUsed/>
    <w:rsid w:val="00E879D0"/>
    <w:rPr>
      <w:color w:val="0000FF"/>
      <w:u w:val="single"/>
    </w:rPr>
  </w:style>
  <w:style w:type="paragraph" w:styleId="List">
    <w:name w:val="List"/>
    <w:basedOn w:val="Normal"/>
    <w:unhideWhenUsed/>
    <w:rsid w:val="00E879D0"/>
    <w:pPr>
      <w:ind w:left="283" w:hanging="283"/>
    </w:pPr>
  </w:style>
  <w:style w:type="paragraph" w:styleId="Subtitle">
    <w:name w:val="Subtitle"/>
    <w:basedOn w:val="Normal"/>
    <w:link w:val="SubtitleChar"/>
    <w:qFormat/>
    <w:rsid w:val="00E879D0"/>
    <w:pPr>
      <w:suppressAutoHyphens w:val="0"/>
      <w:jc w:val="center"/>
    </w:pPr>
    <w:rPr>
      <w:b/>
      <w:sz w:val="28"/>
      <w:szCs w:val="20"/>
      <w:lang w:val="fr-BE" w:eastAsia="en-US"/>
    </w:rPr>
  </w:style>
  <w:style w:type="character" w:customStyle="1" w:styleId="SubtitleChar">
    <w:name w:val="Subtitle Char"/>
    <w:basedOn w:val="DefaultParagraphFont"/>
    <w:link w:val="Subtitle"/>
    <w:rsid w:val="00E879D0"/>
    <w:rPr>
      <w:rFonts w:ascii="Times New Roman" w:eastAsia="Times New Roman" w:hAnsi="Times New Roman" w:cs="Times New Roman"/>
      <w:b/>
      <w:sz w:val="28"/>
      <w:szCs w:val="20"/>
      <w:lang w:val="fr-BE"/>
    </w:rPr>
  </w:style>
  <w:style w:type="character" w:customStyle="1" w:styleId="CharChar2">
    <w:name w:val="Char Char2"/>
    <w:rsid w:val="00E879D0"/>
    <w:rPr>
      <w:sz w:val="24"/>
      <w:szCs w:val="24"/>
      <w:lang w:val="lv-LV" w:eastAsia="en-US" w:bidi="ar-SA"/>
    </w:rPr>
  </w:style>
  <w:style w:type="character" w:styleId="Emphasis">
    <w:name w:val="Emphasis"/>
    <w:basedOn w:val="DefaultParagraphFont"/>
    <w:qFormat/>
    <w:rsid w:val="00E879D0"/>
    <w:rPr>
      <w:i/>
      <w:iCs/>
    </w:rPr>
  </w:style>
  <w:style w:type="paragraph" w:styleId="BodyText3">
    <w:name w:val="Body Text 3"/>
    <w:basedOn w:val="Normal"/>
    <w:link w:val="BodyText3Char"/>
    <w:rsid w:val="00527B39"/>
    <w:pPr>
      <w:spacing w:after="120"/>
    </w:pPr>
    <w:rPr>
      <w:sz w:val="16"/>
      <w:szCs w:val="16"/>
    </w:rPr>
  </w:style>
  <w:style w:type="character" w:customStyle="1" w:styleId="BodyText3Char">
    <w:name w:val="Body Text 3 Char"/>
    <w:basedOn w:val="DefaultParagraphFont"/>
    <w:link w:val="BodyText3"/>
    <w:rsid w:val="00527B39"/>
    <w:rPr>
      <w:rFonts w:ascii="Times New Roman" w:eastAsia="Times New Roman" w:hAnsi="Times New Roman" w:cs="Times New Roman"/>
      <w:sz w:val="16"/>
      <w:szCs w:val="16"/>
      <w:lang w:eastAsia="ar-SA"/>
    </w:rPr>
  </w:style>
  <w:style w:type="paragraph" w:customStyle="1" w:styleId="ListParagraph2">
    <w:name w:val="List Paragraph2"/>
    <w:basedOn w:val="Normal"/>
    <w:rsid w:val="00527B39"/>
    <w:pPr>
      <w:suppressAutoHyphens w:val="0"/>
      <w:spacing w:after="200" w:line="276" w:lineRule="auto"/>
      <w:ind w:left="720"/>
    </w:pPr>
    <w:rPr>
      <w:rFonts w:ascii="Calibri" w:eastAsia="Calibri" w:hAnsi="Calibri" w:cs="Calibri"/>
      <w:sz w:val="22"/>
      <w:szCs w:val="22"/>
      <w:lang w:eastAsia="en-US"/>
    </w:rPr>
  </w:style>
  <w:style w:type="paragraph" w:customStyle="1" w:styleId="tvhtmlmktable1">
    <w:name w:val="tv_html mk_table 1"/>
    <w:basedOn w:val="Normal"/>
    <w:rsid w:val="00527B39"/>
    <w:pPr>
      <w:suppressAutoHyphens w:val="0"/>
      <w:spacing w:line="360" w:lineRule="auto"/>
      <w:ind w:firstLine="300"/>
    </w:pPr>
    <w:rPr>
      <w:rFonts w:eastAsia="SimSun"/>
      <w:color w:val="414142"/>
      <w:sz w:val="20"/>
      <w:szCs w:val="20"/>
      <w:lang w:eastAsia="zh-CN"/>
    </w:rPr>
  </w:style>
  <w:style w:type="paragraph" w:styleId="BalloonText">
    <w:name w:val="Balloon Text"/>
    <w:basedOn w:val="Normal"/>
    <w:link w:val="BalloonTextChar"/>
    <w:uiPriority w:val="99"/>
    <w:semiHidden/>
    <w:unhideWhenUsed/>
    <w:rsid w:val="00CD7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AA"/>
    <w:rPr>
      <w:rFonts w:ascii="Segoe UI" w:eastAsia="Times New Roman" w:hAnsi="Segoe UI" w:cs="Segoe UI"/>
      <w:sz w:val="18"/>
      <w:szCs w:val="18"/>
      <w:lang w:eastAsia="ar-SA"/>
    </w:rPr>
  </w:style>
  <w:style w:type="character" w:customStyle="1" w:styleId="ListParagraphChar">
    <w:name w:val="List Paragraph Char"/>
    <w:aliases w:val="Saistīto dokumentu saraksts Char,Syle 1 Char"/>
    <w:link w:val="ListParagraph"/>
    <w:uiPriority w:val="34"/>
    <w:qFormat/>
    <w:locked/>
    <w:rsid w:val="00FD376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hyperlink" Target="mailto:dome@vila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8D5B-3BA1-4FA2-8C02-1C47957B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7507</Words>
  <Characters>4280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55</cp:revision>
  <cp:lastPrinted>2018-05-25T08:42:00Z</cp:lastPrinted>
  <dcterms:created xsi:type="dcterms:W3CDTF">2017-07-30T17:22:00Z</dcterms:created>
  <dcterms:modified xsi:type="dcterms:W3CDTF">2018-05-25T09:00:00Z</dcterms:modified>
</cp:coreProperties>
</file>